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</w:p>
    <w:p>
      <w:pPr>
        <w:ind w:right="-197" w:rightChars="-94"/>
        <w:jc w:val="center"/>
        <w:rPr>
          <w:rFonts w:ascii="方正小标宋简体" w:hAnsi="楷体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中国矿业大学科技成果转化审批表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23"/>
        <w:gridCol w:w="1708"/>
        <w:gridCol w:w="709"/>
        <w:gridCol w:w="1418"/>
        <w:gridCol w:w="141"/>
        <w:gridCol w:w="1843"/>
        <w:gridCol w:w="125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9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成果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名称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及专利号（仅转化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专利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时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填写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）</w:t>
            </w:r>
          </w:p>
        </w:tc>
        <w:tc>
          <w:tcPr>
            <w:tcW w:w="70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1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成果类型</w:t>
            </w:r>
          </w:p>
        </w:tc>
        <w:tc>
          <w:tcPr>
            <w:tcW w:w="70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□专利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□论文著作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□技术秘密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□软件著作权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成果完成人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校内单位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受让人或被许可人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是否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关联交易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价格</w:t>
            </w:r>
          </w:p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万元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7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□是 □否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14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转化方式</w:t>
            </w:r>
          </w:p>
        </w:tc>
        <w:tc>
          <w:tcPr>
            <w:tcW w:w="70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□自行投资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□作价投资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□转让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□许可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□共同实施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7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定价方式</w:t>
            </w:r>
          </w:p>
        </w:tc>
        <w:tc>
          <w:tcPr>
            <w:tcW w:w="70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□第三方评估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□协商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□挂牌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□拍卖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0"/>
                <w:u w:val="single"/>
              </w:rPr>
              <w:t xml:space="preserve">         </w:t>
            </w:r>
          </w:p>
          <w:p>
            <w:pPr>
              <w:ind w:right="-197" w:rightChars="-94"/>
              <w:jc w:val="left"/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2"/>
                <w:szCs w:val="20"/>
              </w:rPr>
              <w:t>注</w:t>
            </w:r>
            <w:r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  <w:t>：关联交易只能</w:t>
            </w:r>
            <w:r>
              <w:rPr>
                <w:rFonts w:hint="eastAsia" w:ascii="楷体" w:hAnsi="楷体" w:eastAsia="楷体"/>
                <w:color w:val="auto"/>
                <w:kern w:val="0"/>
                <w:sz w:val="22"/>
                <w:szCs w:val="20"/>
              </w:rPr>
              <w:t>采取</w:t>
            </w:r>
            <w:r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  <w:t>挂牌或</w:t>
            </w:r>
            <w:r>
              <w:rPr>
                <w:rFonts w:hint="eastAsia" w:ascii="楷体" w:hAnsi="楷体" w:eastAsia="楷体"/>
                <w:color w:val="auto"/>
                <w:kern w:val="0"/>
                <w:sz w:val="22"/>
                <w:szCs w:val="20"/>
              </w:rPr>
              <w:t>第三方</w:t>
            </w:r>
            <w:r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  <w:t>评估的方式定价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2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经办人</w:t>
            </w:r>
          </w:p>
        </w:tc>
        <w:tc>
          <w:tcPr>
            <w:tcW w:w="2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46" w:right="-197" w:rightChars="-94" w:hanging="96" w:hangingChars="44"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1" w:leftChars="-12" w:right="-197" w:rightChars="-94" w:hanging="24" w:hangingChars="11"/>
              <w:jc w:val="center"/>
              <w:rPr>
                <w:rFonts w:ascii="仿宋" w:hAnsi="仿宋" w:eastAsia="仿宋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研究团队</w:t>
            </w:r>
          </w:p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责任保证</w:t>
            </w:r>
          </w:p>
        </w:tc>
        <w:tc>
          <w:tcPr>
            <w:tcW w:w="7095" w:type="dxa"/>
            <w:gridSpan w:val="7"/>
            <w:tcBorders>
              <w:tl2br w:val="nil"/>
              <w:tr2bl w:val="nil"/>
            </w:tcBorders>
          </w:tcPr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hint="eastAsia" w:ascii="仿宋" w:hAnsi="仿宋" w:eastAsia="仿宋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1.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严格遵守法律及学校有关规定，依法签订、履行合同；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2.合作方具备相应主体资格及履约能力；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3.愿意承担我方风险责任、违约及保密责任；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4.不侵犯他人的知识产权；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5.团队成员中的分配比例已经达成一致；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6.所选择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的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是否关联交易情况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真实有效。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>7.如因本项目发生违约赔付问题，由项目负责人自行承担赔付责任。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8" w:firstLineChars="22"/>
              <w:jc w:val="both"/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2"/>
                <w:szCs w:val="20"/>
              </w:rPr>
              <w:t>如</w:t>
            </w:r>
            <w:r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  <w:t>信息填写不实，本人愿承担由此导致的法律责任。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8" w:firstLineChars="22"/>
              <w:jc w:val="center"/>
              <w:rPr>
                <w:rFonts w:ascii="楷体" w:hAnsi="楷体" w:eastAsia="楷体"/>
                <w:color w:val="auto"/>
                <w:kern w:val="0"/>
                <w:sz w:val="22"/>
                <w:szCs w:val="20"/>
              </w:rPr>
            </w:pPr>
          </w:p>
          <w:p>
            <w:pPr>
              <w:ind w:firstLine="4180" w:firstLineChars="1900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成果完成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>人（签字）：</w:t>
            </w:r>
          </w:p>
          <w:p>
            <w:pPr>
              <w:wordWrap w:val="0"/>
              <w:ind w:right="880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校内单位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jc w:val="left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：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</w:t>
            </w:r>
          </w:p>
          <w:p>
            <w:pPr>
              <w:wordWrap w:val="0"/>
              <w:ind w:right="880"/>
              <w:jc w:val="right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科研院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：</w:t>
            </w:r>
          </w:p>
          <w:p>
            <w:pPr>
              <w:wordWrap w:val="0"/>
              <w:ind w:right="880"/>
              <w:jc w:val="right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校领导小组意见</w:t>
            </w:r>
          </w:p>
        </w:tc>
        <w:tc>
          <w:tcPr>
            <w:tcW w:w="7095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default" w:ascii="仿宋" w:hAnsi="仿宋" w:eastAsia="仿宋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  <w:lang w:val="en-US" w:eastAsia="zh-CN"/>
              </w:rPr>
              <w:t>组长（签字）：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>财务负责人（签字）：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国资负责人（签字）：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人事负责人（签字）：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法律事务负责人（签字）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图书馆负责人（签字）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ind w:right="880"/>
              <w:jc w:val="right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校委常委会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常委会负责人（签字）</w:t>
            </w:r>
          </w:p>
          <w:p>
            <w:pPr>
              <w:ind w:right="880"/>
              <w:jc w:val="righ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</w:p>
          <w:p>
            <w:pPr>
              <w:ind w:right="880"/>
              <w:jc w:val="right"/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日</w:t>
            </w:r>
          </w:p>
        </w:tc>
      </w:tr>
    </w:tbl>
    <w:p>
      <w:pPr>
        <w:ind w:right="-197" w:rightChars="-94"/>
        <w:jc w:val="left"/>
        <w:rPr>
          <w:rFonts w:ascii="楷体" w:hAnsi="楷体" w:eastAsia="楷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ZGQ0NzFkYjFhZjE2NDZhNDdlMTZlYWFiNDc1ZWEifQ=="/>
  </w:docVars>
  <w:rsids>
    <w:rsidRoot w:val="00247E2D"/>
    <w:rsid w:val="000943E0"/>
    <w:rsid w:val="00247E2D"/>
    <w:rsid w:val="006D5435"/>
    <w:rsid w:val="00B61915"/>
    <w:rsid w:val="1DA81FE3"/>
    <w:rsid w:val="32A45A68"/>
    <w:rsid w:val="3C236125"/>
    <w:rsid w:val="7C734BE5"/>
    <w:rsid w:val="7ED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462</Characters>
  <Lines>5</Lines>
  <Paragraphs>1</Paragraphs>
  <TotalTime>0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2021-12-01T09:31:00Z</dcterms:created>
  <dc:creator>xb21cn</dc:creator>
  <cp:lastModifiedBy>HANNAH_XUE</cp:lastModifiedBy>
  <cp:lastPrinted>2022-10-20T00:46:00Z</cp:lastPrinted>
  <dcterms:modified xsi:type="dcterms:W3CDTF">2023-04-17T09:16:43Z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D50EA88FD8B747EDA23569A95F45A262</vt:lpwstr>
  </property>
</Properties>
</file>