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28" w:rsidRPr="005663D8" w:rsidRDefault="005663D8" w:rsidP="005663D8">
      <w:pPr>
        <w:widowControl/>
        <w:jc w:val="center"/>
        <w:rPr>
          <w:rFonts w:ascii="方正小标宋简体" w:eastAsia="方正小标宋简体" w:hAnsi="微软雅黑" w:cs="Tahoma" w:hint="eastAsia"/>
          <w:color w:val="000000" w:themeColor="text1"/>
          <w:kern w:val="0"/>
          <w:sz w:val="32"/>
          <w:szCs w:val="32"/>
        </w:rPr>
      </w:pPr>
      <w:r w:rsidRPr="005663D8">
        <w:rPr>
          <w:rFonts w:ascii="方正小标宋简体" w:eastAsia="方正小标宋简体" w:hAnsi="微软雅黑" w:cs="Tahoma" w:hint="eastAsia"/>
          <w:color w:val="000000" w:themeColor="text1"/>
          <w:kern w:val="0"/>
          <w:sz w:val="32"/>
          <w:szCs w:val="32"/>
        </w:rPr>
        <w:t>科技部关于发布科技创新2030—“新一代人工智能”重大项目2020年度项目申报指南的通知</w:t>
      </w:r>
    </w:p>
    <w:p w:rsidR="00C83A2C" w:rsidRPr="00B85A95" w:rsidRDefault="00C83A2C" w:rsidP="005900FB">
      <w:pPr>
        <w:jc w:val="center"/>
        <w:rPr>
          <w:rFonts w:ascii="仿宋_GB2312" w:eastAsia="仿宋_GB2312"/>
          <w:sz w:val="28"/>
          <w:szCs w:val="28"/>
        </w:rPr>
      </w:pPr>
      <w:r w:rsidRPr="00B85A95">
        <w:rPr>
          <w:rFonts w:ascii="仿宋_GB2312" w:eastAsia="仿宋_GB2312" w:hint="eastAsia"/>
          <w:sz w:val="28"/>
          <w:szCs w:val="28"/>
        </w:rPr>
        <w:t>国</w:t>
      </w:r>
      <w:proofErr w:type="gramStart"/>
      <w:r w:rsidRPr="00B85A95">
        <w:rPr>
          <w:rFonts w:ascii="仿宋_GB2312" w:eastAsia="仿宋_GB2312" w:hint="eastAsia"/>
          <w:sz w:val="28"/>
          <w:szCs w:val="28"/>
        </w:rPr>
        <w:t>科发资〔2020〕</w:t>
      </w:r>
      <w:proofErr w:type="gramEnd"/>
      <w:r w:rsidRPr="00B85A95">
        <w:rPr>
          <w:rFonts w:ascii="仿宋_GB2312" w:eastAsia="仿宋_GB2312" w:hint="eastAsia"/>
          <w:sz w:val="28"/>
          <w:szCs w:val="28"/>
        </w:rPr>
        <w:t>76号</w:t>
      </w:r>
    </w:p>
    <w:p w:rsidR="005900FB" w:rsidRDefault="005900FB" w:rsidP="00C83A2C">
      <w:pPr>
        <w:rPr>
          <w:rFonts w:ascii="仿宋_GB2312" w:eastAsia="仿宋_GB2312"/>
          <w:sz w:val="28"/>
          <w:szCs w:val="28"/>
        </w:rPr>
      </w:pPr>
    </w:p>
    <w:p w:rsidR="00C83A2C" w:rsidRPr="00B85A95" w:rsidRDefault="00C83A2C" w:rsidP="00C83A2C">
      <w:pPr>
        <w:rPr>
          <w:rFonts w:ascii="仿宋_GB2312" w:eastAsia="仿宋_GB2312"/>
          <w:sz w:val="28"/>
          <w:szCs w:val="28"/>
        </w:rPr>
      </w:pPr>
      <w:r w:rsidRPr="00B85A95">
        <w:rPr>
          <w:rFonts w:ascii="仿宋_GB2312" w:eastAsia="仿宋_GB2312" w:hint="eastAsia"/>
          <w:sz w:val="28"/>
          <w:szCs w:val="28"/>
        </w:rPr>
        <w:t>各省、自治区、直辖市及计划单列市科技厅（委、局），新疆生产建设兵团科技局，国务院各有关部门科技主管司局，各有关单位：</w:t>
      </w:r>
    </w:p>
    <w:p w:rsidR="00C83A2C" w:rsidRPr="00B85A95" w:rsidRDefault="00C83A2C" w:rsidP="00C83A2C">
      <w:pPr>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 xml:space="preserve"> </w:t>
      </w:r>
      <w:r w:rsidRPr="00B85A95">
        <w:rPr>
          <w:rFonts w:ascii="仿宋_GB2312" w:eastAsia="仿宋_GB2312" w:hint="eastAsia"/>
          <w:sz w:val="28"/>
          <w:szCs w:val="28"/>
        </w:rPr>
        <w:t> </w:t>
      </w:r>
      <w:r w:rsidRPr="00B85A95">
        <w:rPr>
          <w:rFonts w:ascii="仿宋_GB2312" w:eastAsia="仿宋_GB2312" w:hint="eastAsia"/>
          <w:sz w:val="28"/>
          <w:szCs w:val="28"/>
        </w:rPr>
        <w:t xml:space="preserve"> 为落实国务院印发的《新一代人工智能发展规划》的总体部署，现根据《新一代人工智能重大科技项目实施方案》启动实施科技创新2030—“新一代人工智能”重大项目。按照《关于深化中央财政科技计划（专项、基金等）管理改革的方案》（国发</w:t>
      </w:r>
      <w:r w:rsidRPr="00B85A95">
        <w:rPr>
          <w:rFonts w:ascii="微软雅黑" w:eastAsia="微软雅黑" w:hAnsi="微软雅黑" w:cs="微软雅黑" w:hint="eastAsia"/>
          <w:sz w:val="28"/>
          <w:szCs w:val="28"/>
        </w:rPr>
        <w:t>﹝</w:t>
      </w:r>
      <w:r w:rsidRPr="00B85A95">
        <w:rPr>
          <w:rFonts w:ascii="仿宋_GB2312" w:eastAsia="仿宋_GB2312" w:hint="eastAsia"/>
          <w:sz w:val="28"/>
          <w:szCs w:val="28"/>
        </w:rPr>
        <w:t>2014</w:t>
      </w:r>
      <w:r w:rsidRPr="00B85A95">
        <w:rPr>
          <w:rFonts w:ascii="微软雅黑" w:eastAsia="微软雅黑" w:hAnsi="微软雅黑" w:cs="微软雅黑" w:hint="eastAsia"/>
          <w:sz w:val="28"/>
          <w:szCs w:val="28"/>
        </w:rPr>
        <w:t>﹞</w:t>
      </w:r>
      <w:r w:rsidRPr="00B85A95">
        <w:rPr>
          <w:rFonts w:ascii="仿宋_GB2312" w:eastAsia="仿宋_GB2312" w:hint="eastAsia"/>
          <w:sz w:val="28"/>
          <w:szCs w:val="28"/>
        </w:rPr>
        <w:t>64号）的相关要求，将2020年度项目申报指南予以公布。请按照指南要求组织项目申报工作。有关事项通知如下。</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一、项目组织申报工作流程</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2. 项目的组织实施应整合集成全国相关领域的优势创新团队，聚焦研发问题，强化基础研究、共性关键技术研发和典型应用示范各项任务间的统筹衔接，集中力量，联合攻关。</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3. 项目申报评审采取填写预申报书、正式申报书两步进行，具体工作流程如下。</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lastRenderedPageBreak/>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B85A95">
        <w:rPr>
          <w:rFonts w:ascii="仿宋_GB2312" w:eastAsia="仿宋_GB2312" w:hint="eastAsia"/>
          <w:sz w:val="28"/>
          <w:szCs w:val="28"/>
        </w:rPr>
        <w:t>日到预申报</w:t>
      </w:r>
      <w:proofErr w:type="gramEnd"/>
      <w:r w:rsidRPr="00B85A95">
        <w:rPr>
          <w:rFonts w:ascii="仿宋_GB2312" w:eastAsia="仿宋_GB2312" w:hint="eastAsia"/>
          <w:sz w:val="28"/>
          <w:szCs w:val="28"/>
        </w:rPr>
        <w:t>书受理截止日不少于50天。</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——项目牵头申报单位应与所有参与单位签署联合申报协议，并明确协议签署时间；项目牵头申报单位、课题申报单位、项目负责人及课题负责人</w:t>
      </w:r>
      <w:proofErr w:type="gramStart"/>
      <w:r w:rsidRPr="00B85A95">
        <w:rPr>
          <w:rFonts w:ascii="仿宋_GB2312" w:eastAsia="仿宋_GB2312" w:hint="eastAsia"/>
          <w:sz w:val="28"/>
          <w:szCs w:val="28"/>
        </w:rPr>
        <w:t>须签署诚信</w:t>
      </w:r>
      <w:proofErr w:type="gramEnd"/>
      <w:r w:rsidRPr="00B85A95">
        <w:rPr>
          <w:rFonts w:ascii="仿宋_GB2312" w:eastAsia="仿宋_GB2312" w:hint="eastAsia"/>
          <w:sz w:val="28"/>
          <w:szCs w:val="28"/>
        </w:rPr>
        <w:t>承诺书，项目牵头申报单位及所有参与单位要落实《关于进一步加强科研诚信建设的若干意见》要求，加强对申报材料审核把关，杜绝夸大不实，甚至弄虚作假。</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——各推荐单位加强对所推荐的项目申报材料审核把关，按时将推荐项目通过国家科技管理信息系统统一报送。</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——专业机构受理项目预申报。为确保合理的竞争度，对于非定向申报的单个指南方向，若申报团队数量不多于</w:t>
      </w:r>
      <w:proofErr w:type="gramStart"/>
      <w:r w:rsidRPr="00B85A95">
        <w:rPr>
          <w:rFonts w:ascii="仿宋_GB2312" w:eastAsia="仿宋_GB2312" w:hint="eastAsia"/>
          <w:sz w:val="28"/>
          <w:szCs w:val="28"/>
        </w:rPr>
        <w:t>拟支持</w:t>
      </w:r>
      <w:proofErr w:type="gramEnd"/>
      <w:r w:rsidRPr="00B85A95">
        <w:rPr>
          <w:rFonts w:ascii="仿宋_GB2312" w:eastAsia="仿宋_GB2312" w:hint="eastAsia"/>
          <w:sz w:val="28"/>
          <w:szCs w:val="28"/>
        </w:rPr>
        <w:t>的项目数量，该指南方向不启动后续项目评审立项程序，择期重新研究发布指南。</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——专业机构组织形式审查，并根据申报情况开展首轮评审工作。首轮评审不需要项目负责人进行答辩。根据专家的评审结果，遴选出3</w:t>
      </w:r>
      <w:r w:rsidR="002F14FD">
        <w:rPr>
          <w:rFonts w:ascii="仿宋_GB2312" w:eastAsia="仿宋_GB2312" w:hint="eastAsia"/>
          <w:sz w:val="28"/>
          <w:szCs w:val="28"/>
        </w:rPr>
        <w:t>-</w:t>
      </w:r>
      <w:proofErr w:type="gramStart"/>
      <w:r w:rsidRPr="00B85A95">
        <w:rPr>
          <w:rFonts w:ascii="仿宋_GB2312" w:eastAsia="仿宋_GB2312" w:hint="eastAsia"/>
          <w:sz w:val="28"/>
          <w:szCs w:val="28"/>
        </w:rPr>
        <w:t>4倍于拟立项</w:t>
      </w:r>
      <w:proofErr w:type="gramEnd"/>
      <w:r w:rsidRPr="00B85A95">
        <w:rPr>
          <w:rFonts w:ascii="仿宋_GB2312" w:eastAsia="仿宋_GB2312" w:hint="eastAsia"/>
          <w:sz w:val="28"/>
          <w:szCs w:val="28"/>
        </w:rPr>
        <w:t>数量的申报项目，进入答辩评审。对于未进入答辩评审的申报项目，及时将评审结果反馈项目申报单位和负责人。</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——申报单位在接到专业机构关于进入答辩评审的通知后，通过国家科技管理信息系统填写并提交项目正式申报书。正式申报书受理时间为30天。</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——专业机构对进入答辩评审的项目申报书进行形式审查，并</w:t>
      </w:r>
      <w:r w:rsidRPr="00B85A95">
        <w:rPr>
          <w:rFonts w:ascii="仿宋_GB2312" w:eastAsia="仿宋_GB2312" w:hint="eastAsia"/>
          <w:sz w:val="28"/>
          <w:szCs w:val="28"/>
        </w:rPr>
        <w:lastRenderedPageBreak/>
        <w:t>组织答辩评审。申报项目的负责人通过网络视频进行报告答辩。根据专家评议情况择优立项。对于</w:t>
      </w:r>
      <w:proofErr w:type="gramStart"/>
      <w:r w:rsidRPr="00B85A95">
        <w:rPr>
          <w:rFonts w:ascii="仿宋_GB2312" w:eastAsia="仿宋_GB2312" w:hint="eastAsia"/>
          <w:sz w:val="28"/>
          <w:szCs w:val="28"/>
        </w:rPr>
        <w:t>拟支持</w:t>
      </w:r>
      <w:proofErr w:type="gramEnd"/>
      <w:r w:rsidRPr="00B85A95">
        <w:rPr>
          <w:rFonts w:ascii="仿宋_GB2312" w:eastAsia="仿宋_GB2312" w:hint="eastAsia"/>
          <w:sz w:val="28"/>
          <w:szCs w:val="28"/>
        </w:rPr>
        <w:t>项目不超过4项和10项的指南任务，是指在满足项目立项条件的情况下，该研究任务所支持项目数分别不超过4项和10项；对于支持</w:t>
      </w:r>
      <w:r w:rsidR="00B85A95">
        <w:rPr>
          <w:rFonts w:ascii="仿宋_GB2312" w:eastAsia="仿宋_GB2312" w:hint="eastAsia"/>
          <w:sz w:val="28"/>
          <w:szCs w:val="28"/>
        </w:rPr>
        <w:t>1</w:t>
      </w:r>
      <w:r w:rsidR="00B85A95">
        <w:rPr>
          <w:rFonts w:ascii="仿宋_GB2312" w:eastAsia="仿宋_GB2312"/>
          <w:sz w:val="28"/>
          <w:szCs w:val="28"/>
        </w:rPr>
        <w:t>2</w:t>
      </w:r>
      <w:r w:rsidRPr="00B85A95">
        <w:rPr>
          <w:rFonts w:ascii="仿宋_GB2312" w:eastAsia="仿宋_GB2312" w:hint="eastAsia"/>
          <w:sz w:val="28"/>
          <w:szCs w:val="28"/>
        </w:rPr>
        <w:t>2项的指南任务，原则上只支持1项，如答辩评审结果前两位的申报项目评价相近，且技术路线明显不同，可同时立项支持，并建立动态调整机制，结合过程管理开展中期评估，根据评估结果确定后续支持方式。</w:t>
      </w:r>
    </w:p>
    <w:p w:rsidR="002F14FD"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二、组织申报的推荐单位</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1. 国务院有关部门科技主管司局；</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2. 各省、自治区、直辖市、计划单列市及新疆生产建设兵团科技主管部门；</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3. 原工业部门转制成立的行业协会；</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4. 纳入科技</w:t>
      </w:r>
      <w:proofErr w:type="gramStart"/>
      <w:r w:rsidRPr="00B85A95">
        <w:rPr>
          <w:rFonts w:ascii="仿宋_GB2312" w:eastAsia="仿宋_GB2312" w:hint="eastAsia"/>
          <w:sz w:val="28"/>
          <w:szCs w:val="28"/>
        </w:rPr>
        <w:t>部试点</w:t>
      </w:r>
      <w:proofErr w:type="gramEnd"/>
      <w:r w:rsidRPr="00B85A95">
        <w:rPr>
          <w:rFonts w:ascii="仿宋_GB2312" w:eastAsia="仿宋_GB2312" w:hint="eastAsia"/>
          <w:sz w:val="28"/>
          <w:szCs w:val="28"/>
        </w:rPr>
        <w:t>范围并且评估结果为A类的产业技术创新战略联盟，以及纳入科技部、财政部开展的科技服务业创新发展行业试点联盟。</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C83A2C" w:rsidRPr="00B85A95" w:rsidRDefault="00C83A2C" w:rsidP="00C83A2C">
      <w:pPr>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 xml:space="preserve"> </w:t>
      </w:r>
      <w:r w:rsidRPr="00B85A95">
        <w:rPr>
          <w:rFonts w:ascii="仿宋_GB2312" w:eastAsia="仿宋_GB2312" w:hint="eastAsia"/>
          <w:sz w:val="28"/>
          <w:szCs w:val="28"/>
        </w:rPr>
        <w:t> </w:t>
      </w:r>
      <w:r w:rsidRPr="00B85A95">
        <w:rPr>
          <w:rFonts w:ascii="仿宋_GB2312" w:eastAsia="仿宋_GB2312" w:hint="eastAsia"/>
          <w:sz w:val="28"/>
          <w:szCs w:val="28"/>
        </w:rPr>
        <w:t xml:space="preserve"> 三、申报资格要求</w:t>
      </w:r>
    </w:p>
    <w:p w:rsidR="005900FB" w:rsidRDefault="00C83A2C" w:rsidP="005900FB">
      <w:pPr>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 xml:space="preserve"> </w:t>
      </w:r>
      <w:r w:rsidRPr="00B85A95">
        <w:rPr>
          <w:rFonts w:ascii="仿宋_GB2312" w:eastAsia="仿宋_GB2312" w:hint="eastAsia"/>
          <w:sz w:val="28"/>
          <w:szCs w:val="28"/>
        </w:rPr>
        <w:t> </w:t>
      </w:r>
      <w:r w:rsidRPr="00B85A95">
        <w:rPr>
          <w:rFonts w:ascii="仿宋_GB2312" w:eastAsia="仿宋_GB2312" w:hint="eastAsia"/>
          <w:sz w:val="28"/>
          <w:szCs w:val="28"/>
        </w:rPr>
        <w:t xml:space="preserve"> 1. 项目牵头申报单位和参与单位应为中国大陆境内注册的科研</w:t>
      </w:r>
      <w:r w:rsidRPr="00B85A95">
        <w:rPr>
          <w:rFonts w:ascii="仿宋_GB2312" w:eastAsia="仿宋_GB2312" w:hint="eastAsia"/>
          <w:sz w:val="28"/>
          <w:szCs w:val="28"/>
        </w:rPr>
        <w:lastRenderedPageBreak/>
        <w:t>院所、高等学校和企业等，具有独立法人资格，注册时间为2019年3月31日前，有较强的科技研发能力和条件，运行管理规范。国家机关不得牵头或参与申报。</w:t>
      </w:r>
    </w:p>
    <w:p w:rsidR="005900FB"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项目牵头申报单位、项目参与单位以及项目团队成员诚信状况良好，无在惩戒执行期内的科研严重失信行为记录和相关社会领域信用“黑名单”记录。</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申报单位同一个项目只能通过单个推荐单位申报，不得多头申报和重复申报。</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2. 项目（课题）负责人须具有高级职称或博士学位，1960年1月1日以后出生，每年用于项目的工作时间不得少于6个月。</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3. 项目（课题）负责人原则上应为该项目（课题）主体研究思路的提出者和实际主持研究的科技人员。中央和地方各级国家机关的公务人员（包括行使科技计划管理职能的其他人员）不得申报项目（课题）。</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4. 项目（课题）负责人限申报1个项目（课题）；国家科技重大专项、国家重点研发计划重点专项、科技创新2030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项目的在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或课题）负责人不得牵头申报项目（课题）。国家重点研发计划重点专项、科技创新2030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项目的在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项目负责人（不含任务或课题负责人）也不得参与申报项目（课题）。</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项目（课题）负责人、项目骨干的申报项目（课题）和国家科技重大专项、国家重点研发计划、科技创新2030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项目（课题）总数不得超过2个；国家科技重大专项、国家重点研发计划、</w:t>
      </w:r>
      <w:r w:rsidRPr="00B85A95">
        <w:rPr>
          <w:rFonts w:ascii="仿宋_GB2312" w:eastAsia="仿宋_GB2312" w:hint="eastAsia"/>
          <w:sz w:val="28"/>
          <w:szCs w:val="28"/>
        </w:rPr>
        <w:lastRenderedPageBreak/>
        <w:t>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或课题）负责人不得因申报项目（课题）而退出目前承担的项目（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或课题）。国家科技重大专项、国家重点研发计划、科技创新2030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项目的在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或课题）负责人和项目骨干退出项目研发团队后，在原项目执行期内原则上不得牵头或参与申报</w:t>
      </w:r>
      <w:proofErr w:type="gramStart"/>
      <w:r w:rsidRPr="00B85A95">
        <w:rPr>
          <w:rFonts w:ascii="仿宋_GB2312" w:eastAsia="仿宋_GB2312" w:hint="eastAsia"/>
          <w:sz w:val="28"/>
          <w:szCs w:val="28"/>
        </w:rPr>
        <w:t>本重大</w:t>
      </w:r>
      <w:proofErr w:type="gramEnd"/>
      <w:r w:rsidRPr="00B85A95">
        <w:rPr>
          <w:rFonts w:ascii="仿宋_GB2312" w:eastAsia="仿宋_GB2312" w:hint="eastAsia"/>
          <w:sz w:val="28"/>
          <w:szCs w:val="28"/>
        </w:rPr>
        <w:t>项目。</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计划任务书执行期（包括延期后的执行期）到2020年12月31日之前的在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或课题）不在限项范围内。</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5. 参与</w:t>
      </w:r>
      <w:proofErr w:type="gramStart"/>
      <w:r w:rsidRPr="00B85A95">
        <w:rPr>
          <w:rFonts w:ascii="仿宋_GB2312" w:eastAsia="仿宋_GB2312" w:hint="eastAsia"/>
          <w:sz w:val="28"/>
          <w:szCs w:val="28"/>
        </w:rPr>
        <w:t>本重大</w:t>
      </w:r>
      <w:proofErr w:type="gramEnd"/>
      <w:r w:rsidRPr="00B85A95">
        <w:rPr>
          <w:rFonts w:ascii="仿宋_GB2312" w:eastAsia="仿宋_GB2312" w:hint="eastAsia"/>
          <w:sz w:val="28"/>
          <w:szCs w:val="28"/>
        </w:rPr>
        <w:t>项目实施方案或本年度项目指南编制的专家，不能申报项目（课题）。</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7. 申报项目受理后，原则上不能更改申报单位和负责人。</w:t>
      </w:r>
    </w:p>
    <w:p w:rsidR="005900FB"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8. 项目的具体申报要求，详见项目申报指南。</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各申报单位在正式提交项目申报书前可利用国家科技管理信息系统公共服务平台查询相关科研人员承担国家科技重大专项、国家重点研发计划重点专项、科技创新2030</w:t>
      </w:r>
      <w:proofErr w:type="gramStart"/>
      <w:r w:rsidRPr="00B85A95">
        <w:rPr>
          <w:rFonts w:ascii="仿宋_GB2312" w:eastAsia="仿宋_GB2312" w:hint="eastAsia"/>
          <w:sz w:val="28"/>
          <w:szCs w:val="28"/>
        </w:rPr>
        <w:t>—重大</w:t>
      </w:r>
      <w:proofErr w:type="gramEnd"/>
      <w:r w:rsidRPr="00B85A95">
        <w:rPr>
          <w:rFonts w:ascii="仿宋_GB2312" w:eastAsia="仿宋_GB2312" w:hint="eastAsia"/>
          <w:sz w:val="28"/>
          <w:szCs w:val="28"/>
        </w:rPr>
        <w:t>项目在</w:t>
      </w:r>
      <w:proofErr w:type="gramStart"/>
      <w:r w:rsidRPr="00B85A95">
        <w:rPr>
          <w:rFonts w:ascii="仿宋_GB2312" w:eastAsia="仿宋_GB2312" w:hint="eastAsia"/>
          <w:sz w:val="28"/>
          <w:szCs w:val="28"/>
        </w:rPr>
        <w:t>研</w:t>
      </w:r>
      <w:proofErr w:type="gramEnd"/>
      <w:r w:rsidRPr="00B85A95">
        <w:rPr>
          <w:rFonts w:ascii="仿宋_GB2312" w:eastAsia="仿宋_GB2312" w:hint="eastAsia"/>
          <w:sz w:val="28"/>
          <w:szCs w:val="28"/>
        </w:rPr>
        <w:t>项目（</w:t>
      </w:r>
      <w:proofErr w:type="gramStart"/>
      <w:r w:rsidRPr="00B85A95">
        <w:rPr>
          <w:rFonts w:ascii="仿宋_GB2312" w:eastAsia="仿宋_GB2312" w:hint="eastAsia"/>
          <w:sz w:val="28"/>
          <w:szCs w:val="28"/>
        </w:rPr>
        <w:t>含任务</w:t>
      </w:r>
      <w:proofErr w:type="gramEnd"/>
      <w:r w:rsidRPr="00B85A95">
        <w:rPr>
          <w:rFonts w:ascii="仿宋_GB2312" w:eastAsia="仿宋_GB2312" w:hint="eastAsia"/>
          <w:sz w:val="28"/>
          <w:szCs w:val="28"/>
        </w:rPr>
        <w:t>或课题）情况，避免重复申报。</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四、具体申报方式</w:t>
      </w:r>
    </w:p>
    <w:p w:rsidR="005900FB"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1. 网上填报。本次申报试行无纸化申请，请各申报单位严格遵循国家、地方各项疫情防控要求，创新工作方法，减少人员聚集，通</w:t>
      </w:r>
      <w:r w:rsidRPr="00B85A95">
        <w:rPr>
          <w:rFonts w:ascii="仿宋_GB2312" w:eastAsia="仿宋_GB2312" w:hint="eastAsia"/>
          <w:sz w:val="28"/>
          <w:szCs w:val="28"/>
        </w:rPr>
        <w:lastRenderedPageBreak/>
        <w:t>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项目申报单位网上填报预申报书的受理时间为：2020年4月23日8:00至5月25日16:00。进入答辩评审环节的申报项目，由申报单位按要求填报正式申报书，并通过国家科技管理信息系统提交，具体时间和有关要求另行通知。</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2. 组织推荐。请各推荐单位于2020年6月1日16:00前通过国家科技管理信息系统公共服务平台逐</w:t>
      </w:r>
      <w:bookmarkStart w:id="0" w:name="_GoBack"/>
      <w:bookmarkEnd w:id="0"/>
      <w:r w:rsidRPr="00B85A95">
        <w:rPr>
          <w:rFonts w:ascii="仿宋_GB2312" w:eastAsia="仿宋_GB2312" w:hint="eastAsia"/>
          <w:sz w:val="28"/>
          <w:szCs w:val="28"/>
        </w:rPr>
        <w:t>项确认推荐项目，并将加盖推荐单位公章的</w:t>
      </w:r>
      <w:proofErr w:type="gramStart"/>
      <w:r w:rsidRPr="00B85A95">
        <w:rPr>
          <w:rFonts w:ascii="仿宋_GB2312" w:eastAsia="仿宋_GB2312" w:hint="eastAsia"/>
          <w:sz w:val="28"/>
          <w:szCs w:val="28"/>
        </w:rPr>
        <w:t>推荐函以电子扫描</w:t>
      </w:r>
      <w:proofErr w:type="gramEnd"/>
      <w:r w:rsidRPr="00B85A95">
        <w:rPr>
          <w:rFonts w:ascii="仿宋_GB2312" w:eastAsia="仿宋_GB2312" w:hint="eastAsia"/>
          <w:sz w:val="28"/>
          <w:szCs w:val="28"/>
        </w:rPr>
        <w:t>件上传。</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3. 技术咨询电话及邮箱：</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010-58882999（中继线），</w:t>
      </w:r>
      <w:hyperlink r:id="rId4" w:history="1">
        <w:r w:rsidRPr="00B85A95">
          <w:rPr>
            <w:rStyle w:val="a3"/>
            <w:rFonts w:ascii="仿宋_GB2312" w:eastAsia="仿宋_GB2312" w:hint="eastAsia"/>
            <w:sz w:val="28"/>
            <w:szCs w:val="28"/>
          </w:rPr>
          <w:t>program@istic.ac.cn。</w:t>
        </w:r>
      </w:hyperlink>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4. 业务咨询电话：</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 </w:t>
      </w:r>
      <w:r w:rsidRPr="00B85A95">
        <w:rPr>
          <w:rFonts w:ascii="仿宋_GB2312" w:eastAsia="仿宋_GB2312" w:hint="eastAsia"/>
          <w:sz w:val="28"/>
          <w:szCs w:val="28"/>
        </w:rPr>
        <w:t>科学技术部高技术研究发展中心，010-68104417。</w:t>
      </w:r>
    </w:p>
    <w:p w:rsidR="00C83A2C" w:rsidRPr="00B85A95" w:rsidRDefault="00C83A2C" w:rsidP="002F14FD">
      <w:pPr>
        <w:ind w:firstLineChars="200" w:firstLine="560"/>
        <w:rPr>
          <w:rFonts w:ascii="仿宋_GB2312" w:eastAsia="仿宋_GB2312"/>
          <w:sz w:val="28"/>
          <w:szCs w:val="28"/>
        </w:rPr>
      </w:pPr>
      <w:r w:rsidRPr="00B85A95">
        <w:rPr>
          <w:rFonts w:ascii="仿宋_GB2312" w:eastAsia="仿宋_GB2312" w:hint="eastAsia"/>
          <w:sz w:val="28"/>
          <w:szCs w:val="28"/>
        </w:rPr>
        <w:t>附件：</w:t>
      </w:r>
      <w:hyperlink r:id="rId5" w:history="1">
        <w:r w:rsidRPr="00B85A95">
          <w:rPr>
            <w:rStyle w:val="a3"/>
            <w:rFonts w:ascii="仿宋_GB2312" w:eastAsia="仿宋_GB2312" w:hint="eastAsia"/>
            <w:sz w:val="28"/>
            <w:szCs w:val="28"/>
          </w:rPr>
          <w:t>科技创新2030—“新一代人工智能”重大项目2020年度项目申报指南</w:t>
        </w:r>
      </w:hyperlink>
      <w:r w:rsidRPr="00B85A95">
        <w:rPr>
          <w:rFonts w:ascii="仿宋_GB2312" w:eastAsia="仿宋_GB2312" w:hint="eastAsia"/>
          <w:sz w:val="28"/>
          <w:szCs w:val="28"/>
        </w:rPr>
        <w:t>（</w:t>
      </w:r>
      <w:hyperlink r:id="rId6" w:history="1">
        <w:r w:rsidRPr="00B85A95">
          <w:rPr>
            <w:rStyle w:val="a3"/>
            <w:rFonts w:ascii="仿宋_GB2312" w:eastAsia="仿宋_GB2312" w:hint="eastAsia"/>
            <w:sz w:val="28"/>
            <w:szCs w:val="28"/>
          </w:rPr>
          <w:t>形式审查条件要求</w:t>
        </w:r>
      </w:hyperlink>
      <w:r w:rsidRPr="00B85A95">
        <w:rPr>
          <w:rFonts w:ascii="仿宋_GB2312" w:eastAsia="仿宋_GB2312" w:hint="eastAsia"/>
          <w:sz w:val="28"/>
          <w:szCs w:val="28"/>
        </w:rPr>
        <w:t>、</w:t>
      </w:r>
      <w:hyperlink r:id="rId7" w:history="1">
        <w:r w:rsidRPr="00B85A95">
          <w:rPr>
            <w:rStyle w:val="a3"/>
            <w:rFonts w:ascii="仿宋_GB2312" w:eastAsia="仿宋_GB2312" w:hint="eastAsia"/>
            <w:sz w:val="28"/>
            <w:szCs w:val="28"/>
          </w:rPr>
          <w:t>指南编制专家名单</w:t>
        </w:r>
      </w:hyperlink>
      <w:r w:rsidRPr="00B85A95">
        <w:rPr>
          <w:rFonts w:ascii="仿宋_GB2312" w:eastAsia="仿宋_GB2312" w:hint="eastAsia"/>
          <w:sz w:val="28"/>
          <w:szCs w:val="28"/>
        </w:rPr>
        <w:t>）</w:t>
      </w:r>
    </w:p>
    <w:p w:rsidR="00C83A2C" w:rsidRPr="00B85A95" w:rsidRDefault="00C83A2C" w:rsidP="00C83A2C">
      <w:pPr>
        <w:rPr>
          <w:rFonts w:ascii="仿宋_GB2312" w:eastAsia="仿宋_GB2312"/>
          <w:sz w:val="28"/>
          <w:szCs w:val="28"/>
        </w:rPr>
      </w:pPr>
      <w:r w:rsidRPr="00B85A95">
        <w:rPr>
          <w:rFonts w:ascii="仿宋_GB2312" w:eastAsia="仿宋_GB2312" w:hint="eastAsia"/>
          <w:sz w:val="28"/>
          <w:szCs w:val="28"/>
        </w:rPr>
        <w:t> </w:t>
      </w:r>
    </w:p>
    <w:p w:rsidR="00C83A2C" w:rsidRPr="00B85A95" w:rsidRDefault="00C83A2C" w:rsidP="005900FB">
      <w:pPr>
        <w:ind w:right="280"/>
        <w:jc w:val="right"/>
        <w:rPr>
          <w:rFonts w:ascii="仿宋_GB2312" w:eastAsia="仿宋_GB2312"/>
          <w:sz w:val="28"/>
          <w:szCs w:val="28"/>
        </w:rPr>
      </w:pPr>
      <w:r w:rsidRPr="00B85A95">
        <w:rPr>
          <w:rFonts w:ascii="仿宋_GB2312" w:eastAsia="仿宋_GB2312" w:hint="eastAsia"/>
          <w:sz w:val="28"/>
          <w:szCs w:val="28"/>
        </w:rPr>
        <w:t>科 技 部</w:t>
      </w:r>
      <w:r w:rsidRPr="00B85A95">
        <w:rPr>
          <w:rFonts w:ascii="仿宋_GB2312" w:eastAsia="仿宋_GB2312" w:hint="eastAsia"/>
          <w:sz w:val="28"/>
          <w:szCs w:val="28"/>
        </w:rPr>
        <w:t>       </w:t>
      </w:r>
      <w:r w:rsidRPr="00B85A95">
        <w:rPr>
          <w:rFonts w:ascii="仿宋_GB2312" w:eastAsia="仿宋_GB2312" w:hint="eastAsia"/>
          <w:sz w:val="28"/>
          <w:szCs w:val="28"/>
        </w:rPr>
        <w:t xml:space="preserve"> </w:t>
      </w:r>
    </w:p>
    <w:p w:rsidR="003D5428" w:rsidRPr="00B85A95" w:rsidRDefault="00C83A2C" w:rsidP="005900FB">
      <w:pPr>
        <w:jc w:val="right"/>
        <w:rPr>
          <w:rFonts w:ascii="仿宋_GB2312" w:eastAsia="仿宋_GB2312"/>
          <w:sz w:val="28"/>
          <w:szCs w:val="28"/>
        </w:rPr>
      </w:pPr>
      <w:r w:rsidRPr="00B85A95">
        <w:rPr>
          <w:rFonts w:ascii="仿宋_GB2312" w:eastAsia="仿宋_GB2312" w:hint="eastAsia"/>
          <w:sz w:val="28"/>
          <w:szCs w:val="28"/>
        </w:rPr>
        <w:t>2020年3月25日</w:t>
      </w:r>
    </w:p>
    <w:sectPr w:rsidR="003D5428" w:rsidRPr="00B85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9C"/>
    <w:rsid w:val="00102AD0"/>
    <w:rsid w:val="0022339C"/>
    <w:rsid w:val="002F14FD"/>
    <w:rsid w:val="00383FA5"/>
    <w:rsid w:val="003D5428"/>
    <w:rsid w:val="005663D8"/>
    <w:rsid w:val="005900FB"/>
    <w:rsid w:val="008807D1"/>
    <w:rsid w:val="00B85A95"/>
    <w:rsid w:val="00C8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B8F5"/>
  <w15:chartTrackingRefBased/>
  <w15:docId w15:val="{FBB9E87B-955A-4937-A8D8-A4B39FB8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A2C"/>
    <w:rPr>
      <w:color w:val="0563C1" w:themeColor="hyperlink"/>
      <w:u w:val="single"/>
    </w:rPr>
  </w:style>
  <w:style w:type="paragraph" w:styleId="a4">
    <w:name w:val="List Paragraph"/>
    <w:basedOn w:val="a"/>
    <w:uiPriority w:val="34"/>
    <w:qFormat/>
    <w:rsid w:val="005900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6775">
      <w:bodyDiv w:val="1"/>
      <w:marLeft w:val="0"/>
      <w:marRight w:val="0"/>
      <w:marTop w:val="0"/>
      <w:marBottom w:val="0"/>
      <w:divBdr>
        <w:top w:val="none" w:sz="0" w:space="0" w:color="auto"/>
        <w:left w:val="none" w:sz="0" w:space="0" w:color="auto"/>
        <w:bottom w:val="none" w:sz="0" w:space="0" w:color="auto"/>
        <w:right w:val="none" w:sz="0" w:space="0" w:color="auto"/>
      </w:divBdr>
      <w:divsChild>
        <w:div w:id="2024089492">
          <w:marLeft w:val="0"/>
          <w:marRight w:val="0"/>
          <w:marTop w:val="150"/>
          <w:marBottom w:val="150"/>
          <w:divBdr>
            <w:top w:val="none" w:sz="0" w:space="0" w:color="auto"/>
            <w:left w:val="none" w:sz="0" w:space="0" w:color="auto"/>
            <w:bottom w:val="none" w:sz="0" w:space="0" w:color="auto"/>
            <w:right w:val="none" w:sz="0" w:space="0" w:color="auto"/>
          </w:divBdr>
          <w:divsChild>
            <w:div w:id="701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578">
      <w:bodyDiv w:val="1"/>
      <w:marLeft w:val="0"/>
      <w:marRight w:val="0"/>
      <w:marTop w:val="0"/>
      <w:marBottom w:val="0"/>
      <w:divBdr>
        <w:top w:val="none" w:sz="0" w:space="0" w:color="auto"/>
        <w:left w:val="none" w:sz="0" w:space="0" w:color="auto"/>
        <w:bottom w:val="none" w:sz="0" w:space="0" w:color="auto"/>
        <w:right w:val="none" w:sz="0" w:space="0" w:color="auto"/>
      </w:divBdr>
      <w:divsChild>
        <w:div w:id="848905167">
          <w:marLeft w:val="0"/>
          <w:marRight w:val="0"/>
          <w:marTop w:val="150"/>
          <w:marBottom w:val="150"/>
          <w:divBdr>
            <w:top w:val="none" w:sz="0" w:space="0" w:color="auto"/>
            <w:left w:val="none" w:sz="0" w:space="0" w:color="auto"/>
            <w:bottom w:val="none" w:sz="0" w:space="0" w:color="auto"/>
            <w:right w:val="none" w:sz="0" w:space="0" w:color="auto"/>
          </w:divBdr>
          <w:divsChild>
            <w:div w:id="4551933">
              <w:marLeft w:val="0"/>
              <w:marRight w:val="0"/>
              <w:marTop w:val="0"/>
              <w:marBottom w:val="0"/>
              <w:divBdr>
                <w:top w:val="none" w:sz="0" w:space="0" w:color="auto"/>
                <w:left w:val="none" w:sz="0" w:space="0" w:color="auto"/>
                <w:bottom w:val="none" w:sz="0" w:space="0" w:color="auto"/>
                <w:right w:val="none" w:sz="0" w:space="0" w:color="auto"/>
              </w:divBdr>
              <w:divsChild>
                <w:div w:id="611594630">
                  <w:marLeft w:val="0"/>
                  <w:marRight w:val="0"/>
                  <w:marTop w:val="0"/>
                  <w:marBottom w:val="300"/>
                  <w:divBdr>
                    <w:top w:val="none" w:sz="0" w:space="0" w:color="auto"/>
                    <w:left w:val="none" w:sz="0" w:space="0" w:color="auto"/>
                    <w:bottom w:val="dashed" w:sz="6" w:space="0" w:color="999999"/>
                    <w:right w:val="none" w:sz="0" w:space="0" w:color="auto"/>
                  </w:divBdr>
                </w:div>
                <w:div w:id="2091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003/27145810rsy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3/27145739iza6.pdf" TargetMode="External"/><Relationship Id="rId5" Type="http://schemas.openxmlformats.org/officeDocument/2006/relationships/hyperlink" Target="https://service.most.gov.cn/u/cms/static/202003/27145825hnj2.pdf" TargetMode="External"/><Relationship Id="rId4" Type="http://schemas.openxmlformats.org/officeDocument/2006/relationships/hyperlink" Target="mailto:program@istic.ac.cn%E3%80%82"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2020-03-27T08:50:00Z</dcterms:created>
  <dcterms:modified xsi:type="dcterms:W3CDTF">2020-03-27T10:21:00Z</dcterms:modified>
</cp:coreProperties>
</file>