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D64" w:rsidRPr="00190D64" w:rsidRDefault="00190D64" w:rsidP="00190D64">
      <w:pPr>
        <w:widowControl/>
        <w:shd w:val="clear" w:color="auto" w:fill="DDDDDD"/>
        <w:spacing w:line="525" w:lineRule="atLeast"/>
        <w:jc w:val="center"/>
        <w:rPr>
          <w:rFonts w:ascii="微软雅黑" w:eastAsia="微软雅黑" w:hAnsi="微软雅黑" w:cs="宋体"/>
          <w:color w:val="428EDC"/>
          <w:kern w:val="0"/>
          <w:sz w:val="39"/>
          <w:szCs w:val="39"/>
        </w:rPr>
      </w:pPr>
      <w:bookmarkStart w:id="0" w:name="_GoBack"/>
      <w:r w:rsidRPr="00190D64">
        <w:rPr>
          <w:rFonts w:ascii="微软雅黑" w:eastAsia="微软雅黑" w:hAnsi="微软雅黑" w:cs="宋体" w:hint="eastAsia"/>
          <w:color w:val="428EDC"/>
          <w:kern w:val="0"/>
          <w:sz w:val="39"/>
          <w:szCs w:val="39"/>
        </w:rPr>
        <w:t>科技部关于发布国家重点研发计划 “数学和应用研究”等“十四五” 重点专项2021年度项目申报指南的通知</w:t>
      </w:r>
    </w:p>
    <w:bookmarkEnd w:id="0"/>
    <w:p w:rsidR="00190D64" w:rsidRPr="00190D64" w:rsidRDefault="00190D64" w:rsidP="00190D64">
      <w:pPr>
        <w:widowControl/>
        <w:shd w:val="clear" w:color="auto" w:fill="DDDDDD"/>
        <w:spacing w:line="600" w:lineRule="atLeast"/>
        <w:jc w:val="center"/>
        <w:rPr>
          <w:rFonts w:ascii="Tahoma" w:eastAsia="宋体" w:hAnsi="Tahoma" w:cs="Tahoma" w:hint="eastAsia"/>
          <w:color w:val="999999"/>
          <w:kern w:val="0"/>
          <w:sz w:val="18"/>
          <w:szCs w:val="18"/>
        </w:rPr>
      </w:pPr>
      <w:r w:rsidRPr="00190D64">
        <w:rPr>
          <w:rFonts w:ascii="Tahoma" w:eastAsia="宋体" w:hAnsi="Tahoma" w:cs="Tahoma"/>
          <w:color w:val="999999"/>
          <w:kern w:val="0"/>
          <w:sz w:val="18"/>
          <w:szCs w:val="18"/>
        </w:rPr>
        <w:t>发布时间：</w:t>
      </w:r>
      <w:r w:rsidRPr="00190D64">
        <w:rPr>
          <w:rFonts w:ascii="Tahoma" w:eastAsia="宋体" w:hAnsi="Tahoma" w:cs="Tahoma"/>
          <w:color w:val="999999"/>
          <w:kern w:val="0"/>
          <w:sz w:val="18"/>
          <w:szCs w:val="18"/>
        </w:rPr>
        <w:t xml:space="preserve"> 2021</w:t>
      </w:r>
      <w:r w:rsidRPr="00190D64">
        <w:rPr>
          <w:rFonts w:ascii="Tahoma" w:eastAsia="宋体" w:hAnsi="Tahoma" w:cs="Tahoma"/>
          <w:color w:val="999999"/>
          <w:kern w:val="0"/>
          <w:sz w:val="18"/>
          <w:szCs w:val="18"/>
        </w:rPr>
        <w:t>年</w:t>
      </w:r>
      <w:r w:rsidRPr="00190D64">
        <w:rPr>
          <w:rFonts w:ascii="Tahoma" w:eastAsia="宋体" w:hAnsi="Tahoma" w:cs="Tahoma"/>
          <w:color w:val="999999"/>
          <w:kern w:val="0"/>
          <w:sz w:val="18"/>
          <w:szCs w:val="18"/>
        </w:rPr>
        <w:t>05</w:t>
      </w:r>
      <w:r w:rsidRPr="00190D64">
        <w:rPr>
          <w:rFonts w:ascii="Tahoma" w:eastAsia="宋体" w:hAnsi="Tahoma" w:cs="Tahoma"/>
          <w:color w:val="999999"/>
          <w:kern w:val="0"/>
          <w:sz w:val="18"/>
          <w:szCs w:val="18"/>
        </w:rPr>
        <w:t>月</w:t>
      </w:r>
      <w:r w:rsidRPr="00190D64">
        <w:rPr>
          <w:rFonts w:ascii="Tahoma" w:eastAsia="宋体" w:hAnsi="Tahoma" w:cs="Tahoma"/>
          <w:color w:val="999999"/>
          <w:kern w:val="0"/>
          <w:sz w:val="18"/>
          <w:szCs w:val="18"/>
        </w:rPr>
        <w:t>10</w:t>
      </w:r>
      <w:r w:rsidRPr="00190D64">
        <w:rPr>
          <w:rFonts w:ascii="Tahoma" w:eastAsia="宋体" w:hAnsi="Tahoma" w:cs="Tahoma"/>
          <w:color w:val="999999"/>
          <w:kern w:val="0"/>
          <w:sz w:val="18"/>
          <w:szCs w:val="18"/>
        </w:rPr>
        <w:t>日</w:t>
      </w:r>
      <w:r w:rsidRPr="00190D64">
        <w:rPr>
          <w:rFonts w:ascii="Tahoma" w:eastAsia="宋体" w:hAnsi="Tahoma" w:cs="Tahoma"/>
          <w:color w:val="999999"/>
          <w:kern w:val="0"/>
          <w:sz w:val="18"/>
          <w:szCs w:val="18"/>
        </w:rPr>
        <w:t>    </w:t>
      </w:r>
      <w:r w:rsidRPr="00190D64">
        <w:rPr>
          <w:rFonts w:ascii="Tahoma" w:eastAsia="宋体" w:hAnsi="Tahoma" w:cs="Tahoma"/>
          <w:color w:val="999999"/>
          <w:kern w:val="0"/>
          <w:sz w:val="18"/>
          <w:szCs w:val="18"/>
        </w:rPr>
        <w:t>来源：科学技术部</w:t>
      </w:r>
    </w:p>
    <w:p w:rsidR="00190D64" w:rsidRPr="00190D64" w:rsidRDefault="00190D64" w:rsidP="00190D64">
      <w:pPr>
        <w:widowControl/>
        <w:shd w:val="clear" w:color="auto" w:fill="DDDDDD"/>
        <w:spacing w:line="450" w:lineRule="atLeast"/>
        <w:jc w:val="center"/>
        <w:rPr>
          <w:rFonts w:ascii="宋体" w:eastAsia="宋体" w:hAnsi="宋体" w:cs="宋体"/>
          <w:color w:val="444444"/>
          <w:kern w:val="0"/>
          <w:sz w:val="26"/>
          <w:szCs w:val="26"/>
        </w:rPr>
      </w:pPr>
      <w:r w:rsidRPr="00190D64">
        <w:rPr>
          <w:rFonts w:ascii="宋体" w:eastAsia="宋体" w:hAnsi="宋体" w:cs="宋体" w:hint="eastAsia"/>
          <w:color w:val="444444"/>
          <w:kern w:val="0"/>
          <w:sz w:val="26"/>
          <w:szCs w:val="26"/>
        </w:rPr>
        <w:t>国</w:t>
      </w:r>
      <w:proofErr w:type="gramStart"/>
      <w:r w:rsidRPr="00190D64">
        <w:rPr>
          <w:rFonts w:ascii="宋体" w:eastAsia="宋体" w:hAnsi="宋体" w:cs="宋体" w:hint="eastAsia"/>
          <w:color w:val="444444"/>
          <w:kern w:val="0"/>
          <w:sz w:val="26"/>
          <w:szCs w:val="26"/>
        </w:rPr>
        <w:t>科发资〔2021〕</w:t>
      </w:r>
      <w:proofErr w:type="gramEnd"/>
      <w:r w:rsidRPr="00190D64">
        <w:rPr>
          <w:rFonts w:ascii="宋体" w:eastAsia="宋体" w:hAnsi="宋体" w:cs="宋体" w:hint="eastAsia"/>
          <w:color w:val="444444"/>
          <w:kern w:val="0"/>
          <w:sz w:val="26"/>
          <w:szCs w:val="26"/>
        </w:rPr>
        <w:t>131号</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各省、自治区、直辖市及计划单列市科技厅（委、局），新疆生产建设兵团科技局，国务院各有关部门，各有关单位：</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十四五”国家重点研发计划深入贯彻落实党的十九届五中全会精神和“十四五”规划，坚持“四个面向”总要求，积极探索“揭榜挂帅”等科技管理改革举措，全面提升科研投入绩效。根据《国家重点研发计划管理暂行办法》和组织管理相关要求，现将“数学和应用研究”等“十四五”重点专项2021年度项目申报指南予以公布。请根据指南要求组织项目申报工作。有关事项通知如下。</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一、项目组织申报工作流程</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2. 项目组织实施应整合优势创新团队，聚焦指南任务，强化基础研究、共性关键技术研发和典型应用示范各项任务间的统筹衔接，集中力量，联合攻关。</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lastRenderedPageBreak/>
        <w:t>   3. 国家重点研发计划项目申报过程分为预申报、正式申报两个环节，具体工作流程如下。</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w:t>
      </w:r>
      <w:proofErr w:type="gramStart"/>
      <w:r w:rsidRPr="00190D64">
        <w:rPr>
          <w:rFonts w:ascii="宋体" w:eastAsia="宋体" w:hAnsi="宋体" w:cs="宋体" w:hint="eastAsia"/>
          <w:color w:val="444444"/>
          <w:kern w:val="0"/>
          <w:sz w:val="26"/>
          <w:szCs w:val="26"/>
        </w:rPr>
        <w:t>日到预申报</w:t>
      </w:r>
      <w:proofErr w:type="gramEnd"/>
      <w:r w:rsidRPr="00190D64">
        <w:rPr>
          <w:rFonts w:ascii="宋体" w:eastAsia="宋体" w:hAnsi="宋体" w:cs="宋体" w:hint="eastAsia"/>
          <w:color w:val="444444"/>
          <w:kern w:val="0"/>
          <w:sz w:val="26"/>
          <w:szCs w:val="26"/>
        </w:rPr>
        <w:t>书受理截止日不少于50天。</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预申报书应包括相关协议和承诺。项目牵头申报单位应与所有参与单位签署联合申报协议，并明确协议签署时间；项目牵头申报单位、课题申报单位、项目负责人及课题负责人</w:t>
      </w:r>
      <w:proofErr w:type="gramStart"/>
      <w:r w:rsidRPr="00190D64">
        <w:rPr>
          <w:rFonts w:ascii="宋体" w:eastAsia="宋体" w:hAnsi="宋体" w:cs="宋体" w:hint="eastAsia"/>
          <w:color w:val="444444"/>
          <w:kern w:val="0"/>
          <w:sz w:val="26"/>
          <w:szCs w:val="26"/>
        </w:rPr>
        <w:t>须签署诚信</w:t>
      </w:r>
      <w:proofErr w:type="gramEnd"/>
      <w:r w:rsidRPr="00190D64">
        <w:rPr>
          <w:rFonts w:ascii="宋体" w:eastAsia="宋体" w:hAnsi="宋体" w:cs="宋体" w:hint="eastAsia"/>
          <w:color w:val="444444"/>
          <w:kern w:val="0"/>
          <w:sz w:val="26"/>
          <w:szCs w:val="26"/>
        </w:rPr>
        <w:t>承诺书，项目牵头申报单位及所有参与单位要落实《关于进一步加强科研诚信建设的若干意见》《关于进一步弘扬科学家精神加强作风和学风建设的意见》要求，加强对申报材料审核把关，杜绝夸大不实，甚至弄虚作假。</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预申报书须经相关单位推荐。各推荐单位加强对所推荐的项目申报材料审核把关，按时将推荐项目通过国科管系统统一报送。</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专业机构受理预申报书并组织首轮评审。为确保合理的竞争度，对于非定向申报的单个指南方向，若申报团队数量不多于</w:t>
      </w:r>
      <w:proofErr w:type="gramStart"/>
      <w:r w:rsidRPr="00190D64">
        <w:rPr>
          <w:rFonts w:ascii="宋体" w:eastAsia="宋体" w:hAnsi="宋体" w:cs="宋体" w:hint="eastAsia"/>
          <w:color w:val="444444"/>
          <w:kern w:val="0"/>
          <w:sz w:val="26"/>
          <w:szCs w:val="26"/>
        </w:rPr>
        <w:t>拟支持</w:t>
      </w:r>
      <w:proofErr w:type="gramEnd"/>
      <w:r w:rsidRPr="00190D64">
        <w:rPr>
          <w:rFonts w:ascii="宋体" w:eastAsia="宋体" w:hAnsi="宋体" w:cs="宋体" w:hint="eastAsia"/>
          <w:color w:val="444444"/>
          <w:kern w:val="0"/>
          <w:sz w:val="26"/>
          <w:szCs w:val="26"/>
        </w:rPr>
        <w:t>的项目数量，该指南方向不启动后续项目评审立项程序，择期重新研究发布指南。专业机构组织形式审查，并根据申报情况开展首轮评审工作。首轮评审不需要项目负责人进行答辩。根据专家的评审结果，遴选出3~</w:t>
      </w:r>
      <w:proofErr w:type="gramStart"/>
      <w:r w:rsidRPr="00190D64">
        <w:rPr>
          <w:rFonts w:ascii="宋体" w:eastAsia="宋体" w:hAnsi="宋体" w:cs="宋体" w:hint="eastAsia"/>
          <w:color w:val="444444"/>
          <w:kern w:val="0"/>
          <w:sz w:val="26"/>
          <w:szCs w:val="26"/>
        </w:rPr>
        <w:t>4倍于拟立项</w:t>
      </w:r>
      <w:proofErr w:type="gramEnd"/>
      <w:r w:rsidRPr="00190D64">
        <w:rPr>
          <w:rFonts w:ascii="宋体" w:eastAsia="宋体" w:hAnsi="宋体" w:cs="宋体" w:hint="eastAsia"/>
          <w:color w:val="444444"/>
          <w:kern w:val="0"/>
          <w:sz w:val="26"/>
          <w:szCs w:val="26"/>
        </w:rPr>
        <w:t>数量的申报项目，进入答辩评审。对于未进入答辩评审的申报项目，及时将评审结果反馈项目申报单位和负责人。</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lastRenderedPageBreak/>
        <w:t>   ——填写正式申报书。对于通过首轮评审和直接进入答辩评审的项目申请，通过国科管系统填写并提交项目正式申报书，正式申报书受理时间为30天。</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二、组织申报的推荐单位</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1. 国务院有关部门科技主管司局；</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2. 各省、自治区、直辖市、计划单列市及新疆生产建设兵团科技主管部门；</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3. 原工业部门转制成立的行业协会；</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4. 纳入科技</w:t>
      </w:r>
      <w:proofErr w:type="gramStart"/>
      <w:r w:rsidRPr="00190D64">
        <w:rPr>
          <w:rFonts w:ascii="宋体" w:eastAsia="宋体" w:hAnsi="宋体" w:cs="宋体" w:hint="eastAsia"/>
          <w:color w:val="444444"/>
          <w:kern w:val="0"/>
          <w:sz w:val="26"/>
          <w:szCs w:val="26"/>
        </w:rPr>
        <w:t>部试点</w:t>
      </w:r>
      <w:proofErr w:type="gramEnd"/>
      <w:r w:rsidRPr="00190D64">
        <w:rPr>
          <w:rFonts w:ascii="宋体" w:eastAsia="宋体" w:hAnsi="宋体" w:cs="宋体" w:hint="eastAsia"/>
          <w:color w:val="444444"/>
          <w:kern w:val="0"/>
          <w:sz w:val="26"/>
          <w:szCs w:val="26"/>
        </w:rPr>
        <w:t>范围并且评估结果为A类的产业技术创新战略联盟，以及纳入科技部、财政部开展的科技服务业创新发展行业试点联盟。</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5. 港澳科研单位牵头申报的项目，分别由香港创新科技署、澳门科学技术发展基金按要求组织推荐。</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各推荐单位应在本单位职能和业务范围内推荐，并对所推荐项目的真实性等负责。推荐单位名单在国科管系统上公开发布。</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lastRenderedPageBreak/>
        <w:t>   三、申报资格要求</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1. 牵头申报单位和参与单位应为中国大陆境内注册的科研院所、高等学校和企业等（以下简称内地单位），或由内地与香港、内地与澳门科技合作委员会协商确定的港澳科研单位（名单见附件1）。内地单位应具有独立法人资格，注册时间为2020年6月30日前，有较强的科技研发能力和条件，运行管理规范。国家机关不得牵头或参与申报。</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项目牵头申报单位、参与单位以及团队成员诚信状况良好，无在惩戒执行期内的科研严重失信行为记录和相关社会领域信用“黑名单”记录。</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申报单位同一个项目只能通过单个推荐单位申报，不得多头申报和重复申报。</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2. 项目（课题）负责人须具有高级职称或博士学位，1961年1月1日以后出生，每年用于项目的工作时间不得少于6个月。港澳申报人员应爱国爱港、爱国爱澳。</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3. 项目（课题）负责人原则上应为该项目（课题）主体研究思路的提出者和实际主持研究的科技人员。中央和地方各级国家机关及港澳特别行政区的公务人员（包括行使科技计划管理职能的其他人员）不得申报项目（课题）。</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4. 项目（课题）负责人限申报1个项目（课题）；国家科技重大专项、国家重点研发计划、科技创新2030</w:t>
      </w:r>
      <w:proofErr w:type="gramStart"/>
      <w:r w:rsidRPr="00190D64">
        <w:rPr>
          <w:rFonts w:ascii="宋体" w:eastAsia="宋体" w:hAnsi="宋体" w:cs="宋体" w:hint="eastAsia"/>
          <w:color w:val="444444"/>
          <w:kern w:val="0"/>
          <w:sz w:val="26"/>
          <w:szCs w:val="26"/>
        </w:rPr>
        <w:t>—重大</w:t>
      </w:r>
      <w:proofErr w:type="gramEnd"/>
      <w:r w:rsidRPr="00190D64">
        <w:rPr>
          <w:rFonts w:ascii="宋体" w:eastAsia="宋体" w:hAnsi="宋体" w:cs="宋体" w:hint="eastAsia"/>
          <w:color w:val="444444"/>
          <w:kern w:val="0"/>
          <w:sz w:val="26"/>
          <w:szCs w:val="26"/>
        </w:rPr>
        <w:t>项目的在</w:t>
      </w:r>
      <w:proofErr w:type="gramStart"/>
      <w:r w:rsidRPr="00190D64">
        <w:rPr>
          <w:rFonts w:ascii="宋体" w:eastAsia="宋体" w:hAnsi="宋体" w:cs="宋体" w:hint="eastAsia"/>
          <w:color w:val="444444"/>
          <w:kern w:val="0"/>
          <w:sz w:val="26"/>
          <w:szCs w:val="26"/>
        </w:rPr>
        <w:t>研</w:t>
      </w:r>
      <w:proofErr w:type="gramEnd"/>
      <w:r w:rsidRPr="00190D64">
        <w:rPr>
          <w:rFonts w:ascii="宋体" w:eastAsia="宋体" w:hAnsi="宋体" w:cs="宋体" w:hint="eastAsia"/>
          <w:color w:val="444444"/>
          <w:kern w:val="0"/>
          <w:sz w:val="26"/>
          <w:szCs w:val="26"/>
        </w:rPr>
        <w:t>项目负责人不得牵头或参与申报项目（课题），课题负责人可参与申报项目（课题）。</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lastRenderedPageBreak/>
        <w:t>   项目（课题）负责人、项目骨干的申报项目（课题）和国家科技重大专项、国家重点研发计划、科技创新2030</w:t>
      </w:r>
      <w:proofErr w:type="gramStart"/>
      <w:r w:rsidRPr="00190D64">
        <w:rPr>
          <w:rFonts w:ascii="宋体" w:eastAsia="宋体" w:hAnsi="宋体" w:cs="宋体" w:hint="eastAsia"/>
          <w:color w:val="444444"/>
          <w:kern w:val="0"/>
          <w:sz w:val="26"/>
          <w:szCs w:val="26"/>
        </w:rPr>
        <w:t>—重大</w:t>
      </w:r>
      <w:proofErr w:type="gramEnd"/>
      <w:r w:rsidRPr="00190D64">
        <w:rPr>
          <w:rFonts w:ascii="宋体" w:eastAsia="宋体" w:hAnsi="宋体" w:cs="宋体" w:hint="eastAsia"/>
          <w:color w:val="444444"/>
          <w:kern w:val="0"/>
          <w:sz w:val="26"/>
          <w:szCs w:val="26"/>
        </w:rPr>
        <w:t>项目在</w:t>
      </w:r>
      <w:proofErr w:type="gramStart"/>
      <w:r w:rsidRPr="00190D64">
        <w:rPr>
          <w:rFonts w:ascii="宋体" w:eastAsia="宋体" w:hAnsi="宋体" w:cs="宋体" w:hint="eastAsia"/>
          <w:color w:val="444444"/>
          <w:kern w:val="0"/>
          <w:sz w:val="26"/>
          <w:szCs w:val="26"/>
        </w:rPr>
        <w:t>研</w:t>
      </w:r>
      <w:proofErr w:type="gramEnd"/>
      <w:r w:rsidRPr="00190D64">
        <w:rPr>
          <w:rFonts w:ascii="宋体" w:eastAsia="宋体" w:hAnsi="宋体" w:cs="宋体" w:hint="eastAsia"/>
          <w:color w:val="444444"/>
          <w:kern w:val="0"/>
          <w:sz w:val="26"/>
          <w:szCs w:val="26"/>
        </w:rPr>
        <w:t>项目（课题）总数不得超过2个。国家科技重大专项、国家重点研发计划、科技创新2030</w:t>
      </w:r>
      <w:proofErr w:type="gramStart"/>
      <w:r w:rsidRPr="00190D64">
        <w:rPr>
          <w:rFonts w:ascii="宋体" w:eastAsia="宋体" w:hAnsi="宋体" w:cs="宋体" w:hint="eastAsia"/>
          <w:color w:val="444444"/>
          <w:kern w:val="0"/>
          <w:sz w:val="26"/>
          <w:szCs w:val="26"/>
        </w:rPr>
        <w:t>—重大</w:t>
      </w:r>
      <w:proofErr w:type="gramEnd"/>
      <w:r w:rsidRPr="00190D64">
        <w:rPr>
          <w:rFonts w:ascii="宋体" w:eastAsia="宋体" w:hAnsi="宋体" w:cs="宋体" w:hint="eastAsia"/>
          <w:color w:val="444444"/>
          <w:kern w:val="0"/>
          <w:sz w:val="26"/>
          <w:szCs w:val="26"/>
        </w:rPr>
        <w:t>项目的在</w:t>
      </w:r>
      <w:proofErr w:type="gramStart"/>
      <w:r w:rsidRPr="00190D64">
        <w:rPr>
          <w:rFonts w:ascii="宋体" w:eastAsia="宋体" w:hAnsi="宋体" w:cs="宋体" w:hint="eastAsia"/>
          <w:color w:val="444444"/>
          <w:kern w:val="0"/>
          <w:sz w:val="26"/>
          <w:szCs w:val="26"/>
        </w:rPr>
        <w:t>研</w:t>
      </w:r>
      <w:proofErr w:type="gramEnd"/>
      <w:r w:rsidRPr="00190D64">
        <w:rPr>
          <w:rFonts w:ascii="宋体" w:eastAsia="宋体" w:hAnsi="宋体" w:cs="宋体" w:hint="eastAsia"/>
          <w:color w:val="444444"/>
          <w:kern w:val="0"/>
          <w:sz w:val="26"/>
          <w:szCs w:val="26"/>
        </w:rPr>
        <w:t>项目（课题）负责人和项目骨干不得因申报新项目而退出在</w:t>
      </w:r>
      <w:proofErr w:type="gramStart"/>
      <w:r w:rsidRPr="00190D64">
        <w:rPr>
          <w:rFonts w:ascii="宋体" w:eastAsia="宋体" w:hAnsi="宋体" w:cs="宋体" w:hint="eastAsia"/>
          <w:color w:val="444444"/>
          <w:kern w:val="0"/>
          <w:sz w:val="26"/>
          <w:szCs w:val="26"/>
        </w:rPr>
        <w:t>研</w:t>
      </w:r>
      <w:proofErr w:type="gramEnd"/>
      <w:r w:rsidRPr="00190D64">
        <w:rPr>
          <w:rFonts w:ascii="宋体" w:eastAsia="宋体" w:hAnsi="宋体" w:cs="宋体" w:hint="eastAsia"/>
          <w:color w:val="444444"/>
          <w:kern w:val="0"/>
          <w:sz w:val="26"/>
          <w:szCs w:val="26"/>
        </w:rPr>
        <w:t>项目；退出项目研发团队后，在原项目执行期内原则上不得牵头或参与申报新的国家重点研发计划项目。</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项目任务</w:t>
      </w:r>
      <w:proofErr w:type="gramStart"/>
      <w:r w:rsidRPr="00190D64">
        <w:rPr>
          <w:rFonts w:ascii="宋体" w:eastAsia="宋体" w:hAnsi="宋体" w:cs="宋体" w:hint="eastAsia"/>
          <w:color w:val="444444"/>
          <w:kern w:val="0"/>
          <w:sz w:val="26"/>
          <w:szCs w:val="26"/>
        </w:rPr>
        <w:t>书执行</w:t>
      </w:r>
      <w:proofErr w:type="gramEnd"/>
      <w:r w:rsidRPr="00190D64">
        <w:rPr>
          <w:rFonts w:ascii="宋体" w:eastAsia="宋体" w:hAnsi="宋体" w:cs="宋体" w:hint="eastAsia"/>
          <w:color w:val="444444"/>
          <w:kern w:val="0"/>
          <w:sz w:val="26"/>
          <w:szCs w:val="26"/>
        </w:rPr>
        <w:t>期（包括延期后的执行期）到2021年12月31日之前的在</w:t>
      </w:r>
      <w:proofErr w:type="gramStart"/>
      <w:r w:rsidRPr="00190D64">
        <w:rPr>
          <w:rFonts w:ascii="宋体" w:eastAsia="宋体" w:hAnsi="宋体" w:cs="宋体" w:hint="eastAsia"/>
          <w:color w:val="444444"/>
          <w:kern w:val="0"/>
          <w:sz w:val="26"/>
          <w:szCs w:val="26"/>
        </w:rPr>
        <w:t>研</w:t>
      </w:r>
      <w:proofErr w:type="gramEnd"/>
      <w:r w:rsidRPr="00190D64">
        <w:rPr>
          <w:rFonts w:ascii="宋体" w:eastAsia="宋体" w:hAnsi="宋体" w:cs="宋体" w:hint="eastAsia"/>
          <w:color w:val="444444"/>
          <w:kern w:val="0"/>
          <w:sz w:val="26"/>
          <w:szCs w:val="26"/>
        </w:rPr>
        <w:t>项目（</w:t>
      </w:r>
      <w:proofErr w:type="gramStart"/>
      <w:r w:rsidRPr="00190D64">
        <w:rPr>
          <w:rFonts w:ascii="宋体" w:eastAsia="宋体" w:hAnsi="宋体" w:cs="宋体" w:hint="eastAsia"/>
          <w:color w:val="444444"/>
          <w:kern w:val="0"/>
          <w:sz w:val="26"/>
          <w:szCs w:val="26"/>
        </w:rPr>
        <w:t>含任务</w:t>
      </w:r>
      <w:proofErr w:type="gramEnd"/>
      <w:r w:rsidRPr="00190D64">
        <w:rPr>
          <w:rFonts w:ascii="宋体" w:eastAsia="宋体" w:hAnsi="宋体" w:cs="宋体" w:hint="eastAsia"/>
          <w:color w:val="444444"/>
          <w:kern w:val="0"/>
          <w:sz w:val="26"/>
          <w:szCs w:val="26"/>
        </w:rPr>
        <w:t>或课题）不在限项范围内。</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5. 参与重点专项实施方案或本年度项目指南编制的专家，原则上不能申报该重点专项项目（课题）。</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7. 申报项目受理后，原则上不能更改申报单位和负责人。</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8. 项目具体申报要求详见各申报指南，有特殊规定的，从其规定。</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各申报单位在正式提交项目申报书前可利用国科管系统查询相关科研人员承担国家科技重大专项、国家重点研发计划重点专项、科技创新2030</w:t>
      </w:r>
      <w:proofErr w:type="gramStart"/>
      <w:r w:rsidRPr="00190D64">
        <w:rPr>
          <w:rFonts w:ascii="宋体" w:eastAsia="宋体" w:hAnsi="宋体" w:cs="宋体" w:hint="eastAsia"/>
          <w:color w:val="444444"/>
          <w:kern w:val="0"/>
          <w:sz w:val="26"/>
          <w:szCs w:val="26"/>
        </w:rPr>
        <w:t>—重大</w:t>
      </w:r>
      <w:proofErr w:type="gramEnd"/>
      <w:r w:rsidRPr="00190D64">
        <w:rPr>
          <w:rFonts w:ascii="宋体" w:eastAsia="宋体" w:hAnsi="宋体" w:cs="宋体" w:hint="eastAsia"/>
          <w:color w:val="444444"/>
          <w:kern w:val="0"/>
          <w:sz w:val="26"/>
          <w:szCs w:val="26"/>
        </w:rPr>
        <w:t>项目在</w:t>
      </w:r>
      <w:proofErr w:type="gramStart"/>
      <w:r w:rsidRPr="00190D64">
        <w:rPr>
          <w:rFonts w:ascii="宋体" w:eastAsia="宋体" w:hAnsi="宋体" w:cs="宋体" w:hint="eastAsia"/>
          <w:color w:val="444444"/>
          <w:kern w:val="0"/>
          <w:sz w:val="26"/>
          <w:szCs w:val="26"/>
        </w:rPr>
        <w:t>研</w:t>
      </w:r>
      <w:proofErr w:type="gramEnd"/>
      <w:r w:rsidRPr="00190D64">
        <w:rPr>
          <w:rFonts w:ascii="宋体" w:eastAsia="宋体" w:hAnsi="宋体" w:cs="宋体" w:hint="eastAsia"/>
          <w:color w:val="444444"/>
          <w:kern w:val="0"/>
          <w:sz w:val="26"/>
          <w:szCs w:val="26"/>
        </w:rPr>
        <w:t>项目（</w:t>
      </w:r>
      <w:proofErr w:type="gramStart"/>
      <w:r w:rsidRPr="00190D64">
        <w:rPr>
          <w:rFonts w:ascii="宋体" w:eastAsia="宋体" w:hAnsi="宋体" w:cs="宋体" w:hint="eastAsia"/>
          <w:color w:val="444444"/>
          <w:kern w:val="0"/>
          <w:sz w:val="26"/>
          <w:szCs w:val="26"/>
        </w:rPr>
        <w:t>含任务</w:t>
      </w:r>
      <w:proofErr w:type="gramEnd"/>
      <w:r w:rsidRPr="00190D64">
        <w:rPr>
          <w:rFonts w:ascii="宋体" w:eastAsia="宋体" w:hAnsi="宋体" w:cs="宋体" w:hint="eastAsia"/>
          <w:color w:val="444444"/>
          <w:kern w:val="0"/>
          <w:sz w:val="26"/>
          <w:szCs w:val="26"/>
        </w:rPr>
        <w:t>或课题）情况，避免重复申报。</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四、项目管理改革举措</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lastRenderedPageBreak/>
        <w:t>   1. 关于“揭榜挂帅”项目。为切实提升科研投入绩效、强化重大创新成果的“实战性”，“十四五”重点研发计划聚焦国家战略亟需、应用导向鲜明、最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2. 关于青年科学家项目。为给青年科研人员创造更多机会组织实施国家目标导向的重大研发任务，重点研发计划在更大范围内设立青年科学家项目。根据领域和专项特点，采取专设青年科学家项目或项目下专设青年科学家课题等多种方式。青年科学家项目</w:t>
      </w:r>
      <w:proofErr w:type="gramStart"/>
      <w:r w:rsidRPr="00190D64">
        <w:rPr>
          <w:rFonts w:ascii="宋体" w:eastAsia="宋体" w:hAnsi="宋体" w:cs="宋体" w:hint="eastAsia"/>
          <w:color w:val="444444"/>
          <w:kern w:val="0"/>
          <w:sz w:val="26"/>
          <w:szCs w:val="26"/>
        </w:rPr>
        <w:t>不</w:t>
      </w:r>
      <w:proofErr w:type="gramEnd"/>
      <w:r w:rsidRPr="00190D64">
        <w:rPr>
          <w:rFonts w:ascii="宋体" w:eastAsia="宋体" w:hAnsi="宋体" w:cs="宋体" w:hint="eastAsia"/>
          <w:color w:val="444444"/>
          <w:kern w:val="0"/>
          <w:sz w:val="26"/>
          <w:szCs w:val="26"/>
        </w:rPr>
        <w:t>下设课题，原则上不再组织预算评估，鼓励青年科学家大胆探索更具创新性和颠覆性的新方法、新路径，更好服务于专项总体目标的实现。</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3. 关于部省联动。部分专项任务将结合国家重大战略部署和区域产业发展重大需求，采取部省联动方式实施，由部门和地方共同</w:t>
      </w:r>
      <w:proofErr w:type="gramStart"/>
      <w:r w:rsidRPr="00190D64">
        <w:rPr>
          <w:rFonts w:ascii="宋体" w:eastAsia="宋体" w:hAnsi="宋体" w:cs="宋体" w:hint="eastAsia"/>
          <w:color w:val="444444"/>
          <w:kern w:val="0"/>
          <w:sz w:val="26"/>
          <w:szCs w:val="26"/>
        </w:rPr>
        <w:t>凝炼</w:t>
      </w:r>
      <w:proofErr w:type="gramEnd"/>
      <w:r w:rsidRPr="00190D64">
        <w:rPr>
          <w:rFonts w:ascii="宋体" w:eastAsia="宋体" w:hAnsi="宋体" w:cs="宋体" w:hint="eastAsia"/>
          <w:color w:val="444444"/>
          <w:kern w:val="0"/>
          <w:sz w:val="26"/>
          <w:szCs w:val="26"/>
        </w:rPr>
        <w:t>需求、联合投入、协同管理，地方出台专门政策承接项目成果，在项目组织实施中一体化推动重大科技成果产出和落地转化。</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五、具体申报方式</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1. 网上填报。请各申报单位按要求通过国科管系统进行网上填报。专业机构将以网上填报的申报书作为后续形式审查、项目评审的依据。申报材料中所需的附件材料，全部以电子扫描件上传。确因疫情影</w:t>
      </w:r>
      <w:r w:rsidRPr="00190D64">
        <w:rPr>
          <w:rFonts w:ascii="宋体" w:eastAsia="宋体" w:hAnsi="宋体" w:cs="宋体" w:hint="eastAsia"/>
          <w:color w:val="444444"/>
          <w:kern w:val="0"/>
          <w:sz w:val="26"/>
          <w:szCs w:val="26"/>
        </w:rPr>
        <w:lastRenderedPageBreak/>
        <w:t>响暂时无法提供的，请上传依托单位出具的说明材料扫描件，专业机构将根据情况通知补交。</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项目申报单位网上填报预申报书的受理时间为：2021年6月1日8:00至7月7日16:00。进入答辩评审环节的申报项目，由申报单位按要求填报正式申报书，并通过国科管系统提交，具体时间和有关要求另行通知。</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2. 组织推荐。请各推荐单位于2021年7月15日16:00前通过国科管系统逐项确认推荐项目，并将加盖推荐单位公章的</w:t>
      </w:r>
      <w:proofErr w:type="gramStart"/>
      <w:r w:rsidRPr="00190D64">
        <w:rPr>
          <w:rFonts w:ascii="宋体" w:eastAsia="宋体" w:hAnsi="宋体" w:cs="宋体" w:hint="eastAsia"/>
          <w:color w:val="444444"/>
          <w:kern w:val="0"/>
          <w:sz w:val="26"/>
          <w:szCs w:val="26"/>
        </w:rPr>
        <w:t>推荐函以电子扫描</w:t>
      </w:r>
      <w:proofErr w:type="gramEnd"/>
      <w:r w:rsidRPr="00190D64">
        <w:rPr>
          <w:rFonts w:ascii="宋体" w:eastAsia="宋体" w:hAnsi="宋体" w:cs="宋体" w:hint="eastAsia"/>
          <w:color w:val="444444"/>
          <w:kern w:val="0"/>
          <w:sz w:val="26"/>
          <w:szCs w:val="26"/>
        </w:rPr>
        <w:t>件上传。</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3. 技术咨询电话及邮箱：</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010-58882999（中继线），program@istic.ac.cn</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4. 业务咨询电话：</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（1）“数学和应用研究”重点专项咨询电话：010-68104460</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（2）“干细胞研究与器官修复”重点专项咨询电话：010-88225199，010-88225123</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（3）“纳米前沿”重点专项咨询电话：010-68104484</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（4）“生物大分子与微生物组”重点专项咨询电话：010-68104344</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（5）“物态调控”重点专项咨询电话：010-68104460</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（6）“催化科学”重点专项咨询电话：010-68104776</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（7）“工程科学与综合交叉”重点专项咨询电话：010-68104823</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   （8）“大科学装置前沿研究”重点专项咨询电话：010-68104776</w:t>
      </w:r>
    </w:p>
    <w:p w:rsidR="00190D64" w:rsidRPr="00190D64" w:rsidRDefault="00190D64" w:rsidP="00190D64">
      <w:pPr>
        <w:widowControl/>
        <w:shd w:val="clear" w:color="auto" w:fill="DDDDDD"/>
        <w:spacing w:line="450" w:lineRule="atLeast"/>
        <w:jc w:val="lef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lastRenderedPageBreak/>
        <w:pict>
          <v:rect id="_x0000_i1025" style="width:0;height:1.5pt" o:hralign="center" o:hrstd="t" o:hr="t" fillcolor="#a0a0a0" stroked="f"/>
        </w:pict>
      </w:r>
    </w:p>
    <w:p w:rsidR="00190D64" w:rsidRPr="00190D64" w:rsidRDefault="00190D64" w:rsidP="00190D64">
      <w:pPr>
        <w:widowControl/>
        <w:shd w:val="clear" w:color="auto" w:fill="DDDDDD"/>
        <w:spacing w:line="450" w:lineRule="atLeast"/>
        <w:jc w:val="righ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科技部   </w:t>
      </w:r>
    </w:p>
    <w:p w:rsidR="00190D64" w:rsidRPr="00190D64" w:rsidRDefault="00190D64" w:rsidP="00190D64">
      <w:pPr>
        <w:widowControl/>
        <w:shd w:val="clear" w:color="auto" w:fill="DDDDDD"/>
        <w:spacing w:line="450" w:lineRule="atLeast"/>
        <w:jc w:val="right"/>
        <w:rPr>
          <w:rFonts w:ascii="宋体" w:eastAsia="宋体" w:hAnsi="宋体" w:cs="宋体" w:hint="eastAsia"/>
          <w:color w:val="444444"/>
          <w:kern w:val="0"/>
          <w:sz w:val="26"/>
          <w:szCs w:val="26"/>
        </w:rPr>
      </w:pPr>
      <w:r w:rsidRPr="00190D64">
        <w:rPr>
          <w:rFonts w:ascii="宋体" w:eastAsia="宋体" w:hAnsi="宋体" w:cs="宋体" w:hint="eastAsia"/>
          <w:color w:val="444444"/>
          <w:kern w:val="0"/>
          <w:sz w:val="26"/>
          <w:szCs w:val="26"/>
        </w:rPr>
        <w:t>2021年5月10日</w:t>
      </w:r>
    </w:p>
    <w:p w:rsidR="002D21C4" w:rsidRDefault="002D21C4"/>
    <w:sectPr w:rsidR="002D21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9D"/>
    <w:rsid w:val="00190D64"/>
    <w:rsid w:val="002D21C4"/>
    <w:rsid w:val="00B72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391C"/>
  <w15:chartTrackingRefBased/>
  <w15:docId w15:val="{34D56E5B-3ADF-4AA4-A510-32579E30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301233">
      <w:bodyDiv w:val="1"/>
      <w:marLeft w:val="0"/>
      <w:marRight w:val="0"/>
      <w:marTop w:val="0"/>
      <w:marBottom w:val="0"/>
      <w:divBdr>
        <w:top w:val="none" w:sz="0" w:space="0" w:color="auto"/>
        <w:left w:val="none" w:sz="0" w:space="0" w:color="auto"/>
        <w:bottom w:val="none" w:sz="0" w:space="0" w:color="auto"/>
        <w:right w:val="none" w:sz="0" w:space="0" w:color="auto"/>
      </w:divBdr>
      <w:divsChild>
        <w:div w:id="1009523879">
          <w:marLeft w:val="0"/>
          <w:marRight w:val="0"/>
          <w:marTop w:val="0"/>
          <w:marBottom w:val="300"/>
          <w:divBdr>
            <w:top w:val="none" w:sz="0" w:space="0" w:color="auto"/>
            <w:left w:val="none" w:sz="0" w:space="0" w:color="auto"/>
            <w:bottom w:val="dashed" w:sz="6" w:space="0" w:color="999999"/>
            <w:right w:val="none" w:sz="0" w:space="0" w:color="auto"/>
          </w:divBdr>
        </w:div>
        <w:div w:id="1667125954">
          <w:marLeft w:val="0"/>
          <w:marRight w:val="0"/>
          <w:marTop w:val="0"/>
          <w:marBottom w:val="0"/>
          <w:divBdr>
            <w:top w:val="none" w:sz="0" w:space="0" w:color="auto"/>
            <w:left w:val="none" w:sz="0" w:space="0" w:color="auto"/>
            <w:bottom w:val="none" w:sz="0" w:space="0" w:color="auto"/>
            <w:right w:val="none" w:sz="0" w:space="0" w:color="auto"/>
          </w:divBdr>
          <w:divsChild>
            <w:div w:id="1343584108">
              <w:marLeft w:val="0"/>
              <w:marRight w:val="0"/>
              <w:marTop w:val="0"/>
              <w:marBottom w:val="0"/>
              <w:divBdr>
                <w:top w:val="none" w:sz="0" w:space="0" w:color="auto"/>
                <w:left w:val="none" w:sz="0" w:space="0" w:color="auto"/>
                <w:bottom w:val="none" w:sz="0" w:space="0" w:color="auto"/>
                <w:right w:val="none" w:sz="0" w:space="0" w:color="auto"/>
              </w:divBdr>
            </w:div>
            <w:div w:id="260915626">
              <w:marLeft w:val="0"/>
              <w:marRight w:val="0"/>
              <w:marTop w:val="0"/>
              <w:marBottom w:val="0"/>
              <w:divBdr>
                <w:top w:val="none" w:sz="0" w:space="0" w:color="auto"/>
                <w:left w:val="none" w:sz="0" w:space="0" w:color="auto"/>
                <w:bottom w:val="none" w:sz="0" w:space="0" w:color="auto"/>
                <w:right w:val="none" w:sz="0" w:space="0" w:color="auto"/>
              </w:divBdr>
            </w:div>
            <w:div w:id="993141566">
              <w:marLeft w:val="0"/>
              <w:marRight w:val="0"/>
              <w:marTop w:val="0"/>
              <w:marBottom w:val="0"/>
              <w:divBdr>
                <w:top w:val="none" w:sz="0" w:space="0" w:color="auto"/>
                <w:left w:val="none" w:sz="0" w:space="0" w:color="auto"/>
                <w:bottom w:val="none" w:sz="0" w:space="0" w:color="auto"/>
                <w:right w:val="none" w:sz="0" w:space="0" w:color="auto"/>
              </w:divBdr>
            </w:div>
            <w:div w:id="450516510">
              <w:marLeft w:val="0"/>
              <w:marRight w:val="0"/>
              <w:marTop w:val="0"/>
              <w:marBottom w:val="0"/>
              <w:divBdr>
                <w:top w:val="none" w:sz="0" w:space="0" w:color="auto"/>
                <w:left w:val="none" w:sz="0" w:space="0" w:color="auto"/>
                <w:bottom w:val="none" w:sz="0" w:space="0" w:color="auto"/>
                <w:right w:val="none" w:sz="0" w:space="0" w:color="auto"/>
              </w:divBdr>
            </w:div>
            <w:div w:id="1673606066">
              <w:marLeft w:val="0"/>
              <w:marRight w:val="0"/>
              <w:marTop w:val="0"/>
              <w:marBottom w:val="0"/>
              <w:divBdr>
                <w:top w:val="none" w:sz="0" w:space="0" w:color="auto"/>
                <w:left w:val="none" w:sz="0" w:space="0" w:color="auto"/>
                <w:bottom w:val="none" w:sz="0" w:space="0" w:color="auto"/>
                <w:right w:val="none" w:sz="0" w:space="0" w:color="auto"/>
              </w:divBdr>
            </w:div>
            <w:div w:id="1237940819">
              <w:marLeft w:val="0"/>
              <w:marRight w:val="0"/>
              <w:marTop w:val="0"/>
              <w:marBottom w:val="0"/>
              <w:divBdr>
                <w:top w:val="none" w:sz="0" w:space="0" w:color="auto"/>
                <w:left w:val="none" w:sz="0" w:space="0" w:color="auto"/>
                <w:bottom w:val="none" w:sz="0" w:space="0" w:color="auto"/>
                <w:right w:val="none" w:sz="0" w:space="0" w:color="auto"/>
              </w:divBdr>
            </w:div>
            <w:div w:id="1903445696">
              <w:marLeft w:val="0"/>
              <w:marRight w:val="0"/>
              <w:marTop w:val="0"/>
              <w:marBottom w:val="0"/>
              <w:divBdr>
                <w:top w:val="none" w:sz="0" w:space="0" w:color="auto"/>
                <w:left w:val="none" w:sz="0" w:space="0" w:color="auto"/>
                <w:bottom w:val="none" w:sz="0" w:space="0" w:color="auto"/>
                <w:right w:val="none" w:sz="0" w:space="0" w:color="auto"/>
              </w:divBdr>
            </w:div>
            <w:div w:id="1614248747">
              <w:marLeft w:val="0"/>
              <w:marRight w:val="0"/>
              <w:marTop w:val="0"/>
              <w:marBottom w:val="0"/>
              <w:divBdr>
                <w:top w:val="none" w:sz="0" w:space="0" w:color="auto"/>
                <w:left w:val="none" w:sz="0" w:space="0" w:color="auto"/>
                <w:bottom w:val="none" w:sz="0" w:space="0" w:color="auto"/>
                <w:right w:val="none" w:sz="0" w:space="0" w:color="auto"/>
              </w:divBdr>
            </w:div>
            <w:div w:id="1419517439">
              <w:marLeft w:val="0"/>
              <w:marRight w:val="0"/>
              <w:marTop w:val="0"/>
              <w:marBottom w:val="0"/>
              <w:divBdr>
                <w:top w:val="none" w:sz="0" w:space="0" w:color="auto"/>
                <w:left w:val="none" w:sz="0" w:space="0" w:color="auto"/>
                <w:bottom w:val="none" w:sz="0" w:space="0" w:color="auto"/>
                <w:right w:val="none" w:sz="0" w:space="0" w:color="auto"/>
              </w:divBdr>
            </w:div>
            <w:div w:id="1358658425">
              <w:marLeft w:val="0"/>
              <w:marRight w:val="0"/>
              <w:marTop w:val="0"/>
              <w:marBottom w:val="0"/>
              <w:divBdr>
                <w:top w:val="none" w:sz="0" w:space="0" w:color="auto"/>
                <w:left w:val="none" w:sz="0" w:space="0" w:color="auto"/>
                <w:bottom w:val="none" w:sz="0" w:space="0" w:color="auto"/>
                <w:right w:val="none" w:sz="0" w:space="0" w:color="auto"/>
              </w:divBdr>
            </w:div>
            <w:div w:id="167141210">
              <w:marLeft w:val="0"/>
              <w:marRight w:val="0"/>
              <w:marTop w:val="0"/>
              <w:marBottom w:val="0"/>
              <w:divBdr>
                <w:top w:val="none" w:sz="0" w:space="0" w:color="auto"/>
                <w:left w:val="none" w:sz="0" w:space="0" w:color="auto"/>
                <w:bottom w:val="none" w:sz="0" w:space="0" w:color="auto"/>
                <w:right w:val="none" w:sz="0" w:space="0" w:color="auto"/>
              </w:divBdr>
            </w:div>
            <w:div w:id="628702642">
              <w:marLeft w:val="0"/>
              <w:marRight w:val="0"/>
              <w:marTop w:val="0"/>
              <w:marBottom w:val="0"/>
              <w:divBdr>
                <w:top w:val="none" w:sz="0" w:space="0" w:color="auto"/>
                <w:left w:val="none" w:sz="0" w:space="0" w:color="auto"/>
                <w:bottom w:val="none" w:sz="0" w:space="0" w:color="auto"/>
                <w:right w:val="none" w:sz="0" w:space="0" w:color="auto"/>
              </w:divBdr>
            </w:div>
            <w:div w:id="1858084331">
              <w:marLeft w:val="0"/>
              <w:marRight w:val="0"/>
              <w:marTop w:val="0"/>
              <w:marBottom w:val="0"/>
              <w:divBdr>
                <w:top w:val="none" w:sz="0" w:space="0" w:color="auto"/>
                <w:left w:val="none" w:sz="0" w:space="0" w:color="auto"/>
                <w:bottom w:val="none" w:sz="0" w:space="0" w:color="auto"/>
                <w:right w:val="none" w:sz="0" w:space="0" w:color="auto"/>
              </w:divBdr>
            </w:div>
            <w:div w:id="1510555995">
              <w:marLeft w:val="0"/>
              <w:marRight w:val="0"/>
              <w:marTop w:val="0"/>
              <w:marBottom w:val="0"/>
              <w:divBdr>
                <w:top w:val="none" w:sz="0" w:space="0" w:color="auto"/>
                <w:left w:val="none" w:sz="0" w:space="0" w:color="auto"/>
                <w:bottom w:val="none" w:sz="0" w:space="0" w:color="auto"/>
                <w:right w:val="none" w:sz="0" w:space="0" w:color="auto"/>
              </w:divBdr>
            </w:div>
            <w:div w:id="1608852810">
              <w:marLeft w:val="0"/>
              <w:marRight w:val="0"/>
              <w:marTop w:val="0"/>
              <w:marBottom w:val="0"/>
              <w:divBdr>
                <w:top w:val="none" w:sz="0" w:space="0" w:color="auto"/>
                <w:left w:val="none" w:sz="0" w:space="0" w:color="auto"/>
                <w:bottom w:val="none" w:sz="0" w:space="0" w:color="auto"/>
                <w:right w:val="none" w:sz="0" w:space="0" w:color="auto"/>
              </w:divBdr>
            </w:div>
            <w:div w:id="320279610">
              <w:marLeft w:val="0"/>
              <w:marRight w:val="0"/>
              <w:marTop w:val="0"/>
              <w:marBottom w:val="0"/>
              <w:divBdr>
                <w:top w:val="none" w:sz="0" w:space="0" w:color="auto"/>
                <w:left w:val="none" w:sz="0" w:space="0" w:color="auto"/>
                <w:bottom w:val="none" w:sz="0" w:space="0" w:color="auto"/>
                <w:right w:val="none" w:sz="0" w:space="0" w:color="auto"/>
              </w:divBdr>
            </w:div>
            <w:div w:id="1979214550">
              <w:marLeft w:val="0"/>
              <w:marRight w:val="0"/>
              <w:marTop w:val="0"/>
              <w:marBottom w:val="0"/>
              <w:divBdr>
                <w:top w:val="none" w:sz="0" w:space="0" w:color="auto"/>
                <w:left w:val="none" w:sz="0" w:space="0" w:color="auto"/>
                <w:bottom w:val="none" w:sz="0" w:space="0" w:color="auto"/>
                <w:right w:val="none" w:sz="0" w:space="0" w:color="auto"/>
              </w:divBdr>
            </w:div>
            <w:div w:id="1268152261">
              <w:marLeft w:val="0"/>
              <w:marRight w:val="0"/>
              <w:marTop w:val="0"/>
              <w:marBottom w:val="0"/>
              <w:divBdr>
                <w:top w:val="none" w:sz="0" w:space="0" w:color="auto"/>
                <w:left w:val="none" w:sz="0" w:space="0" w:color="auto"/>
                <w:bottom w:val="none" w:sz="0" w:space="0" w:color="auto"/>
                <w:right w:val="none" w:sz="0" w:space="0" w:color="auto"/>
              </w:divBdr>
            </w:div>
            <w:div w:id="1998268630">
              <w:marLeft w:val="0"/>
              <w:marRight w:val="0"/>
              <w:marTop w:val="0"/>
              <w:marBottom w:val="0"/>
              <w:divBdr>
                <w:top w:val="none" w:sz="0" w:space="0" w:color="auto"/>
                <w:left w:val="none" w:sz="0" w:space="0" w:color="auto"/>
                <w:bottom w:val="none" w:sz="0" w:space="0" w:color="auto"/>
                <w:right w:val="none" w:sz="0" w:space="0" w:color="auto"/>
              </w:divBdr>
            </w:div>
            <w:div w:id="703019888">
              <w:marLeft w:val="0"/>
              <w:marRight w:val="0"/>
              <w:marTop w:val="0"/>
              <w:marBottom w:val="0"/>
              <w:divBdr>
                <w:top w:val="none" w:sz="0" w:space="0" w:color="auto"/>
                <w:left w:val="none" w:sz="0" w:space="0" w:color="auto"/>
                <w:bottom w:val="none" w:sz="0" w:space="0" w:color="auto"/>
                <w:right w:val="none" w:sz="0" w:space="0" w:color="auto"/>
              </w:divBdr>
            </w:div>
            <w:div w:id="1299262477">
              <w:marLeft w:val="0"/>
              <w:marRight w:val="0"/>
              <w:marTop w:val="0"/>
              <w:marBottom w:val="0"/>
              <w:divBdr>
                <w:top w:val="none" w:sz="0" w:space="0" w:color="auto"/>
                <w:left w:val="none" w:sz="0" w:space="0" w:color="auto"/>
                <w:bottom w:val="none" w:sz="0" w:space="0" w:color="auto"/>
                <w:right w:val="none" w:sz="0" w:space="0" w:color="auto"/>
              </w:divBdr>
            </w:div>
            <w:div w:id="1970435650">
              <w:marLeft w:val="0"/>
              <w:marRight w:val="0"/>
              <w:marTop w:val="0"/>
              <w:marBottom w:val="0"/>
              <w:divBdr>
                <w:top w:val="none" w:sz="0" w:space="0" w:color="auto"/>
                <w:left w:val="none" w:sz="0" w:space="0" w:color="auto"/>
                <w:bottom w:val="none" w:sz="0" w:space="0" w:color="auto"/>
                <w:right w:val="none" w:sz="0" w:space="0" w:color="auto"/>
              </w:divBdr>
            </w:div>
            <w:div w:id="1945115292">
              <w:marLeft w:val="0"/>
              <w:marRight w:val="0"/>
              <w:marTop w:val="0"/>
              <w:marBottom w:val="0"/>
              <w:divBdr>
                <w:top w:val="none" w:sz="0" w:space="0" w:color="auto"/>
                <w:left w:val="none" w:sz="0" w:space="0" w:color="auto"/>
                <w:bottom w:val="none" w:sz="0" w:space="0" w:color="auto"/>
                <w:right w:val="none" w:sz="0" w:space="0" w:color="auto"/>
              </w:divBdr>
            </w:div>
            <w:div w:id="1332104848">
              <w:marLeft w:val="0"/>
              <w:marRight w:val="0"/>
              <w:marTop w:val="0"/>
              <w:marBottom w:val="0"/>
              <w:divBdr>
                <w:top w:val="none" w:sz="0" w:space="0" w:color="auto"/>
                <w:left w:val="none" w:sz="0" w:space="0" w:color="auto"/>
                <w:bottom w:val="none" w:sz="0" w:space="0" w:color="auto"/>
                <w:right w:val="none" w:sz="0" w:space="0" w:color="auto"/>
              </w:divBdr>
            </w:div>
            <w:div w:id="424231567">
              <w:marLeft w:val="0"/>
              <w:marRight w:val="0"/>
              <w:marTop w:val="0"/>
              <w:marBottom w:val="0"/>
              <w:divBdr>
                <w:top w:val="none" w:sz="0" w:space="0" w:color="auto"/>
                <w:left w:val="none" w:sz="0" w:space="0" w:color="auto"/>
                <w:bottom w:val="none" w:sz="0" w:space="0" w:color="auto"/>
                <w:right w:val="none" w:sz="0" w:space="0" w:color="auto"/>
              </w:divBdr>
            </w:div>
            <w:div w:id="2041776703">
              <w:marLeft w:val="0"/>
              <w:marRight w:val="0"/>
              <w:marTop w:val="0"/>
              <w:marBottom w:val="0"/>
              <w:divBdr>
                <w:top w:val="none" w:sz="0" w:space="0" w:color="auto"/>
                <w:left w:val="none" w:sz="0" w:space="0" w:color="auto"/>
                <w:bottom w:val="none" w:sz="0" w:space="0" w:color="auto"/>
                <w:right w:val="none" w:sz="0" w:space="0" w:color="auto"/>
              </w:divBdr>
            </w:div>
            <w:div w:id="413862844">
              <w:marLeft w:val="0"/>
              <w:marRight w:val="0"/>
              <w:marTop w:val="0"/>
              <w:marBottom w:val="0"/>
              <w:divBdr>
                <w:top w:val="none" w:sz="0" w:space="0" w:color="auto"/>
                <w:left w:val="none" w:sz="0" w:space="0" w:color="auto"/>
                <w:bottom w:val="none" w:sz="0" w:space="0" w:color="auto"/>
                <w:right w:val="none" w:sz="0" w:space="0" w:color="auto"/>
              </w:divBdr>
            </w:div>
            <w:div w:id="1213879896">
              <w:marLeft w:val="0"/>
              <w:marRight w:val="0"/>
              <w:marTop w:val="0"/>
              <w:marBottom w:val="0"/>
              <w:divBdr>
                <w:top w:val="none" w:sz="0" w:space="0" w:color="auto"/>
                <w:left w:val="none" w:sz="0" w:space="0" w:color="auto"/>
                <w:bottom w:val="none" w:sz="0" w:space="0" w:color="auto"/>
                <w:right w:val="none" w:sz="0" w:space="0" w:color="auto"/>
              </w:divBdr>
            </w:div>
            <w:div w:id="415519908">
              <w:marLeft w:val="0"/>
              <w:marRight w:val="0"/>
              <w:marTop w:val="0"/>
              <w:marBottom w:val="0"/>
              <w:divBdr>
                <w:top w:val="none" w:sz="0" w:space="0" w:color="auto"/>
                <w:left w:val="none" w:sz="0" w:space="0" w:color="auto"/>
                <w:bottom w:val="none" w:sz="0" w:space="0" w:color="auto"/>
                <w:right w:val="none" w:sz="0" w:space="0" w:color="auto"/>
              </w:divBdr>
            </w:div>
            <w:div w:id="1221750094">
              <w:marLeft w:val="0"/>
              <w:marRight w:val="0"/>
              <w:marTop w:val="0"/>
              <w:marBottom w:val="0"/>
              <w:divBdr>
                <w:top w:val="none" w:sz="0" w:space="0" w:color="auto"/>
                <w:left w:val="none" w:sz="0" w:space="0" w:color="auto"/>
                <w:bottom w:val="none" w:sz="0" w:space="0" w:color="auto"/>
                <w:right w:val="none" w:sz="0" w:space="0" w:color="auto"/>
              </w:divBdr>
            </w:div>
            <w:div w:id="10034251">
              <w:marLeft w:val="0"/>
              <w:marRight w:val="0"/>
              <w:marTop w:val="0"/>
              <w:marBottom w:val="0"/>
              <w:divBdr>
                <w:top w:val="none" w:sz="0" w:space="0" w:color="auto"/>
                <w:left w:val="none" w:sz="0" w:space="0" w:color="auto"/>
                <w:bottom w:val="none" w:sz="0" w:space="0" w:color="auto"/>
                <w:right w:val="none" w:sz="0" w:space="0" w:color="auto"/>
              </w:divBdr>
            </w:div>
            <w:div w:id="130292043">
              <w:marLeft w:val="0"/>
              <w:marRight w:val="0"/>
              <w:marTop w:val="0"/>
              <w:marBottom w:val="0"/>
              <w:divBdr>
                <w:top w:val="none" w:sz="0" w:space="0" w:color="auto"/>
                <w:left w:val="none" w:sz="0" w:space="0" w:color="auto"/>
                <w:bottom w:val="none" w:sz="0" w:space="0" w:color="auto"/>
                <w:right w:val="none" w:sz="0" w:space="0" w:color="auto"/>
              </w:divBdr>
            </w:div>
            <w:div w:id="1638946886">
              <w:marLeft w:val="0"/>
              <w:marRight w:val="0"/>
              <w:marTop w:val="0"/>
              <w:marBottom w:val="0"/>
              <w:divBdr>
                <w:top w:val="none" w:sz="0" w:space="0" w:color="auto"/>
                <w:left w:val="none" w:sz="0" w:space="0" w:color="auto"/>
                <w:bottom w:val="none" w:sz="0" w:space="0" w:color="auto"/>
                <w:right w:val="none" w:sz="0" w:space="0" w:color="auto"/>
              </w:divBdr>
            </w:div>
            <w:div w:id="441152959">
              <w:marLeft w:val="0"/>
              <w:marRight w:val="0"/>
              <w:marTop w:val="0"/>
              <w:marBottom w:val="0"/>
              <w:divBdr>
                <w:top w:val="none" w:sz="0" w:space="0" w:color="auto"/>
                <w:left w:val="none" w:sz="0" w:space="0" w:color="auto"/>
                <w:bottom w:val="none" w:sz="0" w:space="0" w:color="auto"/>
                <w:right w:val="none" w:sz="0" w:space="0" w:color="auto"/>
              </w:divBdr>
            </w:div>
            <w:div w:id="1050425925">
              <w:marLeft w:val="0"/>
              <w:marRight w:val="0"/>
              <w:marTop w:val="0"/>
              <w:marBottom w:val="0"/>
              <w:divBdr>
                <w:top w:val="none" w:sz="0" w:space="0" w:color="auto"/>
                <w:left w:val="none" w:sz="0" w:space="0" w:color="auto"/>
                <w:bottom w:val="none" w:sz="0" w:space="0" w:color="auto"/>
                <w:right w:val="none" w:sz="0" w:space="0" w:color="auto"/>
              </w:divBdr>
            </w:div>
            <w:div w:id="349375295">
              <w:marLeft w:val="0"/>
              <w:marRight w:val="0"/>
              <w:marTop w:val="0"/>
              <w:marBottom w:val="0"/>
              <w:divBdr>
                <w:top w:val="none" w:sz="0" w:space="0" w:color="auto"/>
                <w:left w:val="none" w:sz="0" w:space="0" w:color="auto"/>
                <w:bottom w:val="none" w:sz="0" w:space="0" w:color="auto"/>
                <w:right w:val="none" w:sz="0" w:space="0" w:color="auto"/>
              </w:divBdr>
            </w:div>
            <w:div w:id="2039156607">
              <w:marLeft w:val="0"/>
              <w:marRight w:val="0"/>
              <w:marTop w:val="0"/>
              <w:marBottom w:val="0"/>
              <w:divBdr>
                <w:top w:val="none" w:sz="0" w:space="0" w:color="auto"/>
                <w:left w:val="none" w:sz="0" w:space="0" w:color="auto"/>
                <w:bottom w:val="none" w:sz="0" w:space="0" w:color="auto"/>
                <w:right w:val="none" w:sz="0" w:space="0" w:color="auto"/>
              </w:divBdr>
            </w:div>
            <w:div w:id="316037903">
              <w:marLeft w:val="0"/>
              <w:marRight w:val="0"/>
              <w:marTop w:val="0"/>
              <w:marBottom w:val="0"/>
              <w:divBdr>
                <w:top w:val="none" w:sz="0" w:space="0" w:color="auto"/>
                <w:left w:val="none" w:sz="0" w:space="0" w:color="auto"/>
                <w:bottom w:val="none" w:sz="0" w:space="0" w:color="auto"/>
                <w:right w:val="none" w:sz="0" w:space="0" w:color="auto"/>
              </w:divBdr>
            </w:div>
            <w:div w:id="1696077431">
              <w:marLeft w:val="0"/>
              <w:marRight w:val="0"/>
              <w:marTop w:val="0"/>
              <w:marBottom w:val="0"/>
              <w:divBdr>
                <w:top w:val="none" w:sz="0" w:space="0" w:color="auto"/>
                <w:left w:val="none" w:sz="0" w:space="0" w:color="auto"/>
                <w:bottom w:val="none" w:sz="0" w:space="0" w:color="auto"/>
                <w:right w:val="none" w:sz="0" w:space="0" w:color="auto"/>
              </w:divBdr>
            </w:div>
            <w:div w:id="1882135240">
              <w:marLeft w:val="0"/>
              <w:marRight w:val="0"/>
              <w:marTop w:val="0"/>
              <w:marBottom w:val="0"/>
              <w:divBdr>
                <w:top w:val="none" w:sz="0" w:space="0" w:color="auto"/>
                <w:left w:val="none" w:sz="0" w:space="0" w:color="auto"/>
                <w:bottom w:val="none" w:sz="0" w:space="0" w:color="auto"/>
                <w:right w:val="none" w:sz="0" w:space="0" w:color="auto"/>
              </w:divBdr>
            </w:div>
            <w:div w:id="1898396780">
              <w:marLeft w:val="0"/>
              <w:marRight w:val="0"/>
              <w:marTop w:val="0"/>
              <w:marBottom w:val="0"/>
              <w:divBdr>
                <w:top w:val="none" w:sz="0" w:space="0" w:color="auto"/>
                <w:left w:val="none" w:sz="0" w:space="0" w:color="auto"/>
                <w:bottom w:val="none" w:sz="0" w:space="0" w:color="auto"/>
                <w:right w:val="none" w:sz="0" w:space="0" w:color="auto"/>
              </w:divBdr>
            </w:div>
            <w:div w:id="432826899">
              <w:marLeft w:val="0"/>
              <w:marRight w:val="0"/>
              <w:marTop w:val="0"/>
              <w:marBottom w:val="0"/>
              <w:divBdr>
                <w:top w:val="none" w:sz="0" w:space="0" w:color="auto"/>
                <w:left w:val="none" w:sz="0" w:space="0" w:color="auto"/>
                <w:bottom w:val="none" w:sz="0" w:space="0" w:color="auto"/>
                <w:right w:val="none" w:sz="0" w:space="0" w:color="auto"/>
              </w:divBdr>
            </w:div>
            <w:div w:id="248002836">
              <w:marLeft w:val="0"/>
              <w:marRight w:val="0"/>
              <w:marTop w:val="0"/>
              <w:marBottom w:val="0"/>
              <w:divBdr>
                <w:top w:val="none" w:sz="0" w:space="0" w:color="auto"/>
                <w:left w:val="none" w:sz="0" w:space="0" w:color="auto"/>
                <w:bottom w:val="none" w:sz="0" w:space="0" w:color="auto"/>
                <w:right w:val="none" w:sz="0" w:space="0" w:color="auto"/>
              </w:divBdr>
            </w:div>
            <w:div w:id="1166630760">
              <w:marLeft w:val="0"/>
              <w:marRight w:val="0"/>
              <w:marTop w:val="0"/>
              <w:marBottom w:val="0"/>
              <w:divBdr>
                <w:top w:val="none" w:sz="0" w:space="0" w:color="auto"/>
                <w:left w:val="none" w:sz="0" w:space="0" w:color="auto"/>
                <w:bottom w:val="none" w:sz="0" w:space="0" w:color="auto"/>
                <w:right w:val="none" w:sz="0" w:space="0" w:color="auto"/>
              </w:divBdr>
            </w:div>
            <w:div w:id="1219777820">
              <w:marLeft w:val="0"/>
              <w:marRight w:val="0"/>
              <w:marTop w:val="0"/>
              <w:marBottom w:val="0"/>
              <w:divBdr>
                <w:top w:val="none" w:sz="0" w:space="0" w:color="auto"/>
                <w:left w:val="none" w:sz="0" w:space="0" w:color="auto"/>
                <w:bottom w:val="none" w:sz="0" w:space="0" w:color="auto"/>
                <w:right w:val="none" w:sz="0" w:space="0" w:color="auto"/>
              </w:divBdr>
            </w:div>
            <w:div w:id="942805740">
              <w:marLeft w:val="0"/>
              <w:marRight w:val="0"/>
              <w:marTop w:val="0"/>
              <w:marBottom w:val="0"/>
              <w:divBdr>
                <w:top w:val="none" w:sz="0" w:space="0" w:color="auto"/>
                <w:left w:val="none" w:sz="0" w:space="0" w:color="auto"/>
                <w:bottom w:val="none" w:sz="0" w:space="0" w:color="auto"/>
                <w:right w:val="none" w:sz="0" w:space="0" w:color="auto"/>
              </w:divBdr>
            </w:div>
            <w:div w:id="130564406">
              <w:marLeft w:val="0"/>
              <w:marRight w:val="0"/>
              <w:marTop w:val="0"/>
              <w:marBottom w:val="0"/>
              <w:divBdr>
                <w:top w:val="none" w:sz="0" w:space="0" w:color="auto"/>
                <w:left w:val="none" w:sz="0" w:space="0" w:color="auto"/>
                <w:bottom w:val="none" w:sz="0" w:space="0" w:color="auto"/>
                <w:right w:val="none" w:sz="0" w:space="0" w:color="auto"/>
              </w:divBdr>
            </w:div>
            <w:div w:id="1183743474">
              <w:marLeft w:val="0"/>
              <w:marRight w:val="0"/>
              <w:marTop w:val="0"/>
              <w:marBottom w:val="0"/>
              <w:divBdr>
                <w:top w:val="none" w:sz="0" w:space="0" w:color="auto"/>
                <w:left w:val="none" w:sz="0" w:space="0" w:color="auto"/>
                <w:bottom w:val="none" w:sz="0" w:space="0" w:color="auto"/>
                <w:right w:val="none" w:sz="0" w:space="0" w:color="auto"/>
              </w:divBdr>
            </w:div>
            <w:div w:id="1414233451">
              <w:marLeft w:val="0"/>
              <w:marRight w:val="0"/>
              <w:marTop w:val="0"/>
              <w:marBottom w:val="0"/>
              <w:divBdr>
                <w:top w:val="none" w:sz="0" w:space="0" w:color="auto"/>
                <w:left w:val="none" w:sz="0" w:space="0" w:color="auto"/>
                <w:bottom w:val="none" w:sz="0" w:space="0" w:color="auto"/>
                <w:right w:val="none" w:sz="0" w:space="0" w:color="auto"/>
              </w:divBdr>
            </w:div>
            <w:div w:id="623316178">
              <w:marLeft w:val="0"/>
              <w:marRight w:val="0"/>
              <w:marTop w:val="0"/>
              <w:marBottom w:val="0"/>
              <w:divBdr>
                <w:top w:val="none" w:sz="0" w:space="0" w:color="auto"/>
                <w:left w:val="none" w:sz="0" w:space="0" w:color="auto"/>
                <w:bottom w:val="none" w:sz="0" w:space="0" w:color="auto"/>
                <w:right w:val="none" w:sz="0" w:space="0" w:color="auto"/>
              </w:divBdr>
            </w:div>
            <w:div w:id="1425372394">
              <w:marLeft w:val="0"/>
              <w:marRight w:val="0"/>
              <w:marTop w:val="0"/>
              <w:marBottom w:val="0"/>
              <w:divBdr>
                <w:top w:val="none" w:sz="0" w:space="0" w:color="auto"/>
                <w:left w:val="none" w:sz="0" w:space="0" w:color="auto"/>
                <w:bottom w:val="none" w:sz="0" w:space="0" w:color="auto"/>
                <w:right w:val="none" w:sz="0" w:space="0" w:color="auto"/>
              </w:divBdr>
            </w:div>
            <w:div w:id="1485858149">
              <w:marLeft w:val="0"/>
              <w:marRight w:val="0"/>
              <w:marTop w:val="0"/>
              <w:marBottom w:val="0"/>
              <w:divBdr>
                <w:top w:val="none" w:sz="0" w:space="0" w:color="auto"/>
                <w:left w:val="none" w:sz="0" w:space="0" w:color="auto"/>
                <w:bottom w:val="none" w:sz="0" w:space="0" w:color="auto"/>
                <w:right w:val="none" w:sz="0" w:space="0" w:color="auto"/>
              </w:divBdr>
            </w:div>
            <w:div w:id="164319042">
              <w:marLeft w:val="0"/>
              <w:marRight w:val="0"/>
              <w:marTop w:val="0"/>
              <w:marBottom w:val="0"/>
              <w:divBdr>
                <w:top w:val="none" w:sz="0" w:space="0" w:color="auto"/>
                <w:left w:val="none" w:sz="0" w:space="0" w:color="auto"/>
                <w:bottom w:val="none" w:sz="0" w:space="0" w:color="auto"/>
                <w:right w:val="none" w:sz="0" w:space="0" w:color="auto"/>
              </w:divBdr>
            </w:div>
            <w:div w:id="880895960">
              <w:marLeft w:val="0"/>
              <w:marRight w:val="0"/>
              <w:marTop w:val="0"/>
              <w:marBottom w:val="0"/>
              <w:divBdr>
                <w:top w:val="none" w:sz="0" w:space="0" w:color="auto"/>
                <w:left w:val="none" w:sz="0" w:space="0" w:color="auto"/>
                <w:bottom w:val="none" w:sz="0" w:space="0" w:color="auto"/>
                <w:right w:val="none" w:sz="0" w:space="0" w:color="auto"/>
              </w:divBdr>
            </w:div>
            <w:div w:id="1886016978">
              <w:marLeft w:val="0"/>
              <w:marRight w:val="0"/>
              <w:marTop w:val="0"/>
              <w:marBottom w:val="0"/>
              <w:divBdr>
                <w:top w:val="none" w:sz="0" w:space="0" w:color="auto"/>
                <w:left w:val="none" w:sz="0" w:space="0" w:color="auto"/>
                <w:bottom w:val="none" w:sz="0" w:space="0" w:color="auto"/>
                <w:right w:val="none" w:sz="0" w:space="0" w:color="auto"/>
              </w:divBdr>
            </w:div>
            <w:div w:id="1804300809">
              <w:marLeft w:val="0"/>
              <w:marRight w:val="0"/>
              <w:marTop w:val="0"/>
              <w:marBottom w:val="0"/>
              <w:divBdr>
                <w:top w:val="none" w:sz="0" w:space="0" w:color="auto"/>
                <w:left w:val="none" w:sz="0" w:space="0" w:color="auto"/>
                <w:bottom w:val="none" w:sz="0" w:space="0" w:color="auto"/>
                <w:right w:val="none" w:sz="0" w:space="0" w:color="auto"/>
              </w:divBdr>
            </w:div>
            <w:div w:id="1716005708">
              <w:marLeft w:val="0"/>
              <w:marRight w:val="0"/>
              <w:marTop w:val="0"/>
              <w:marBottom w:val="0"/>
              <w:divBdr>
                <w:top w:val="none" w:sz="0" w:space="0" w:color="auto"/>
                <w:left w:val="none" w:sz="0" w:space="0" w:color="auto"/>
                <w:bottom w:val="none" w:sz="0" w:space="0" w:color="auto"/>
                <w:right w:val="none" w:sz="0" w:space="0" w:color="auto"/>
              </w:divBdr>
            </w:div>
            <w:div w:id="183056037">
              <w:marLeft w:val="0"/>
              <w:marRight w:val="0"/>
              <w:marTop w:val="0"/>
              <w:marBottom w:val="0"/>
              <w:divBdr>
                <w:top w:val="none" w:sz="0" w:space="0" w:color="auto"/>
                <w:left w:val="none" w:sz="0" w:space="0" w:color="auto"/>
                <w:bottom w:val="none" w:sz="0" w:space="0" w:color="auto"/>
                <w:right w:val="none" w:sz="0" w:space="0" w:color="auto"/>
              </w:divBdr>
            </w:div>
            <w:div w:id="1828016433">
              <w:marLeft w:val="0"/>
              <w:marRight w:val="0"/>
              <w:marTop w:val="0"/>
              <w:marBottom w:val="0"/>
              <w:divBdr>
                <w:top w:val="none" w:sz="0" w:space="0" w:color="auto"/>
                <w:left w:val="none" w:sz="0" w:space="0" w:color="auto"/>
                <w:bottom w:val="none" w:sz="0" w:space="0" w:color="auto"/>
                <w:right w:val="none" w:sz="0" w:space="0" w:color="auto"/>
              </w:divBdr>
            </w:div>
            <w:div w:id="1691763273">
              <w:marLeft w:val="0"/>
              <w:marRight w:val="0"/>
              <w:marTop w:val="0"/>
              <w:marBottom w:val="0"/>
              <w:divBdr>
                <w:top w:val="none" w:sz="0" w:space="0" w:color="auto"/>
                <w:left w:val="none" w:sz="0" w:space="0" w:color="auto"/>
                <w:bottom w:val="none" w:sz="0" w:space="0" w:color="auto"/>
                <w:right w:val="none" w:sz="0" w:space="0" w:color="auto"/>
              </w:divBdr>
            </w:div>
            <w:div w:id="2109806725">
              <w:marLeft w:val="0"/>
              <w:marRight w:val="0"/>
              <w:marTop w:val="0"/>
              <w:marBottom w:val="0"/>
              <w:divBdr>
                <w:top w:val="none" w:sz="0" w:space="0" w:color="auto"/>
                <w:left w:val="none" w:sz="0" w:space="0" w:color="auto"/>
                <w:bottom w:val="none" w:sz="0" w:space="0" w:color="auto"/>
                <w:right w:val="none" w:sz="0" w:space="0" w:color="auto"/>
              </w:divBdr>
            </w:div>
            <w:div w:id="944726583">
              <w:marLeft w:val="0"/>
              <w:marRight w:val="0"/>
              <w:marTop w:val="0"/>
              <w:marBottom w:val="0"/>
              <w:divBdr>
                <w:top w:val="none" w:sz="0" w:space="0" w:color="auto"/>
                <w:left w:val="none" w:sz="0" w:space="0" w:color="auto"/>
                <w:bottom w:val="none" w:sz="0" w:space="0" w:color="auto"/>
                <w:right w:val="none" w:sz="0" w:space="0" w:color="auto"/>
              </w:divBdr>
            </w:div>
            <w:div w:id="19912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xiu</dc:creator>
  <cp:keywords/>
  <dc:description/>
  <cp:lastModifiedBy>xiu</cp:lastModifiedBy>
  <cp:revision>3</cp:revision>
  <dcterms:created xsi:type="dcterms:W3CDTF">2021-05-11T02:52:00Z</dcterms:created>
  <dcterms:modified xsi:type="dcterms:W3CDTF">2021-05-11T02:53:00Z</dcterms:modified>
</cp:coreProperties>
</file>