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8B" w:rsidRDefault="00B07E41" w:rsidP="00E11409">
      <w:pPr>
        <w:pStyle w:val="1"/>
        <w:keepNext w:val="0"/>
        <w:keepLines w:val="0"/>
        <w:widowControl/>
        <w:spacing w:line="460" w:lineRule="exact"/>
        <w:contextualSpacing/>
        <w:jc w:val="left"/>
        <w:rPr>
          <w:rFonts w:ascii="宋体" w:hAnsi="宋体" w:cs="Times New Roman"/>
          <w:b w:val="0"/>
          <w:iCs/>
          <w:kern w:val="0"/>
          <w:sz w:val="24"/>
          <w:szCs w:val="24"/>
        </w:rPr>
      </w:pPr>
      <w:r>
        <w:rPr>
          <w:rFonts w:ascii="宋体" w:hAnsi="宋体" w:cs="Times New Roman" w:hint="eastAsia"/>
          <w:b w:val="0"/>
          <w:iCs/>
          <w:kern w:val="0"/>
          <w:sz w:val="24"/>
          <w:szCs w:val="24"/>
        </w:rPr>
        <w:t>附件1</w:t>
      </w:r>
    </w:p>
    <w:p w:rsidR="00C5088B" w:rsidRDefault="00B07E41" w:rsidP="00F6354C">
      <w:pPr>
        <w:pStyle w:val="1"/>
        <w:keepNext w:val="0"/>
        <w:keepLines w:val="0"/>
        <w:widowControl/>
        <w:spacing w:afterLines="50" w:after="156" w:line="460" w:lineRule="exact"/>
        <w:contextualSpacing/>
        <w:jc w:val="center"/>
        <w:rPr>
          <w:rFonts w:asciiTheme="minorHAnsi" w:eastAsia="微软雅黑" w:hAnsiTheme="minorHAnsi" w:cstheme="minorBidi"/>
          <w:kern w:val="2"/>
          <w:szCs w:val="30"/>
        </w:rPr>
      </w:pPr>
      <w:r>
        <w:rPr>
          <w:rFonts w:asciiTheme="minorHAnsi" w:eastAsia="微软雅黑" w:hAnsiTheme="minorHAnsi" w:cstheme="minorBidi" w:hint="eastAsia"/>
          <w:kern w:val="2"/>
          <w:szCs w:val="30"/>
        </w:rPr>
        <w:t>“天诚汇智”创新促教基金申报指南</w:t>
      </w:r>
    </w:p>
    <w:p w:rsidR="00C5088B" w:rsidRDefault="00B07E41" w:rsidP="00E11409">
      <w:pPr>
        <w:snapToGrid w:val="0"/>
        <w:spacing w:line="460" w:lineRule="exact"/>
        <w:ind w:firstLineChars="200" w:firstLine="480"/>
        <w:rPr>
          <w:rFonts w:ascii="宋体" w:hAnsi="宋体"/>
          <w:sz w:val="24"/>
        </w:rPr>
      </w:pPr>
      <w:r>
        <w:rPr>
          <w:rFonts w:asciiTheme="minorEastAsia" w:hAnsiTheme="minorEastAsia" w:hint="eastAsia"/>
          <w:sz w:val="24"/>
        </w:rPr>
        <w:t>为了贯彻落实《国家教育事业发展“十三五”规划》，践行科技强国的教学理念，</w:t>
      </w:r>
      <w:r>
        <w:rPr>
          <w:rFonts w:asciiTheme="minorEastAsia" w:hAnsiTheme="minorEastAsia"/>
          <w:sz w:val="24"/>
        </w:rPr>
        <w:t>加强产学研合作，推动自主创新，促进人才培养</w:t>
      </w:r>
      <w:r>
        <w:rPr>
          <w:rFonts w:asciiTheme="minorEastAsia" w:hAnsiTheme="minorEastAsia" w:hint="eastAsia"/>
          <w:sz w:val="24"/>
        </w:rPr>
        <w:t>，教育部科技发展中心与国家超级计算长沙中心、北京以利天诚科技有限公司联合设立了“天诚汇智”创新促教基金，用以推动高校在网络空间安全、大数据（含大数据医疗）、云计算、人工智能（含人工智能医疗）、区块链领域的科研创新和教学改革</w:t>
      </w:r>
      <w:r>
        <w:rPr>
          <w:rFonts w:ascii="宋体" w:hAnsi="宋体" w:hint="eastAsia"/>
          <w:sz w:val="24"/>
        </w:rPr>
        <w:t>。</w:t>
      </w:r>
    </w:p>
    <w:p w:rsidR="00C5088B" w:rsidRDefault="00B07E41" w:rsidP="00E11409">
      <w:pPr>
        <w:pStyle w:val="2"/>
        <w:numPr>
          <w:ilvl w:val="0"/>
          <w:numId w:val="0"/>
        </w:numPr>
        <w:spacing w:beforeLines="0" w:line="460" w:lineRule="exact"/>
        <w:ind w:firstLineChars="200" w:firstLine="560"/>
      </w:pPr>
      <w:r>
        <w:rPr>
          <w:rFonts w:hint="eastAsia"/>
        </w:rPr>
        <w:t>一、基金介绍</w:t>
      </w:r>
    </w:p>
    <w:p w:rsidR="00C5088B" w:rsidRDefault="00B07E41" w:rsidP="00E11409">
      <w:pPr>
        <w:spacing w:line="460" w:lineRule="exact"/>
        <w:ind w:firstLineChars="200" w:firstLine="480"/>
        <w:rPr>
          <w:rFonts w:ascii="宋体" w:hAnsi="宋体"/>
          <w:sz w:val="24"/>
        </w:rPr>
      </w:pPr>
      <w:r>
        <w:rPr>
          <w:rFonts w:ascii="宋体" w:hAnsi="宋体" w:hint="eastAsia"/>
          <w:sz w:val="24"/>
        </w:rPr>
        <w:t>基金是面向</w:t>
      </w:r>
      <w:r>
        <w:rPr>
          <w:rFonts w:asciiTheme="minorEastAsia" w:hAnsiTheme="minorEastAsia" w:hint="eastAsia"/>
          <w:sz w:val="24"/>
        </w:rPr>
        <w:t>网络空间安全、大数据（含大数据医疗）、云计算、人工智能（含人工智能医疗）、区块链</w:t>
      </w:r>
      <w:r>
        <w:rPr>
          <w:rFonts w:ascii="宋体" w:hAnsi="宋体" w:hint="eastAsia"/>
          <w:sz w:val="24"/>
        </w:rPr>
        <w:t>领域的科研创新和教学改革而设立，为入选院校提供以下支持及合作：</w:t>
      </w:r>
    </w:p>
    <w:p w:rsidR="00C5088B" w:rsidRDefault="00E11409" w:rsidP="00E11409">
      <w:pPr>
        <w:tabs>
          <w:tab w:val="left" w:pos="709"/>
        </w:tabs>
        <w:spacing w:line="460" w:lineRule="exact"/>
        <w:ind w:firstLineChars="200" w:firstLine="480"/>
        <w:rPr>
          <w:rFonts w:ascii="宋体" w:hAnsi="宋体"/>
          <w:sz w:val="24"/>
        </w:rPr>
      </w:pPr>
      <w:r>
        <w:rPr>
          <w:rFonts w:ascii="宋体" w:hAnsi="宋体" w:hint="eastAsia"/>
          <w:sz w:val="24"/>
        </w:rPr>
        <w:t>1.</w:t>
      </w:r>
      <w:r w:rsidR="00B07E41">
        <w:rPr>
          <w:rFonts w:ascii="宋体" w:hAnsi="宋体" w:hint="eastAsia"/>
          <w:sz w:val="24"/>
        </w:rPr>
        <w:t>科研创新基金。以实际应用为导向，进一步推动高校在网络空间安全、大数据（含大数据医疗）、云计算、人工智能（含人工智能医疗）、区块链领域的研究创新，基金将为每个科研课题提供20～60万元的资助（包括50%的课题经费和50%的实验条件建设及超算计算资源，根据项目情况可适当调整比例），选题方向见表一。</w:t>
      </w:r>
    </w:p>
    <w:p w:rsidR="00C5088B" w:rsidRDefault="00B07E41" w:rsidP="00E11409">
      <w:pPr>
        <w:spacing w:line="440" w:lineRule="exact"/>
        <w:jc w:val="center"/>
        <w:rPr>
          <w:rFonts w:ascii="宋体" w:hAnsi="宋体"/>
          <w:sz w:val="24"/>
        </w:rPr>
      </w:pPr>
      <w:r>
        <w:rPr>
          <w:rFonts w:hint="eastAsia"/>
          <w:b/>
          <w:sz w:val="24"/>
        </w:rPr>
        <w:t>表一</w:t>
      </w:r>
      <w:r>
        <w:rPr>
          <w:rFonts w:hint="eastAsia"/>
          <w:b/>
          <w:sz w:val="24"/>
        </w:rPr>
        <w:t xml:space="preserve"> </w:t>
      </w:r>
      <w:r>
        <w:rPr>
          <w:rFonts w:hint="eastAsia"/>
          <w:b/>
          <w:sz w:val="24"/>
        </w:rPr>
        <w:t>科研创新基金选题列表</w:t>
      </w:r>
    </w:p>
    <w:tbl>
      <w:tblPr>
        <w:tblStyle w:val="a8"/>
        <w:tblW w:w="8789" w:type="dxa"/>
        <w:tblInd w:w="108" w:type="dxa"/>
        <w:tblLayout w:type="fixed"/>
        <w:tblLook w:val="04A0" w:firstRow="1" w:lastRow="0" w:firstColumn="1" w:lastColumn="0" w:noHBand="0" w:noVBand="1"/>
      </w:tblPr>
      <w:tblGrid>
        <w:gridCol w:w="709"/>
        <w:gridCol w:w="1504"/>
        <w:gridCol w:w="1890"/>
        <w:gridCol w:w="4686"/>
      </w:tblGrid>
      <w:tr w:rsidR="00C5088B">
        <w:trPr>
          <w:trHeight w:val="487"/>
        </w:trPr>
        <w:tc>
          <w:tcPr>
            <w:tcW w:w="709" w:type="dxa"/>
            <w:shd w:val="clear" w:color="auto" w:fill="D0CECE" w:themeFill="background2" w:themeFillShade="E6"/>
            <w:vAlign w:val="center"/>
          </w:tcPr>
          <w:p w:rsidR="00C5088B" w:rsidRDefault="00B07E41">
            <w:pPr>
              <w:jc w:val="center"/>
              <w:rPr>
                <w:rFonts w:ascii="宋体" w:hAnsi="宋体"/>
                <w:b/>
                <w:sz w:val="20"/>
                <w:szCs w:val="20"/>
              </w:rPr>
            </w:pPr>
            <w:r>
              <w:rPr>
                <w:rFonts w:ascii="宋体" w:hAnsi="宋体" w:hint="eastAsia"/>
                <w:b/>
                <w:sz w:val="20"/>
                <w:szCs w:val="20"/>
              </w:rPr>
              <w:t>方向编号</w:t>
            </w:r>
          </w:p>
        </w:tc>
        <w:tc>
          <w:tcPr>
            <w:tcW w:w="1504" w:type="dxa"/>
            <w:shd w:val="clear" w:color="auto" w:fill="D0CECE" w:themeFill="background2" w:themeFillShade="E6"/>
            <w:vAlign w:val="center"/>
          </w:tcPr>
          <w:p w:rsidR="00C5088B" w:rsidRDefault="00B07E41">
            <w:pPr>
              <w:jc w:val="center"/>
              <w:rPr>
                <w:rFonts w:ascii="宋体" w:hAnsi="宋体"/>
                <w:b/>
                <w:sz w:val="20"/>
                <w:szCs w:val="20"/>
              </w:rPr>
            </w:pPr>
            <w:r>
              <w:rPr>
                <w:rFonts w:ascii="宋体" w:hAnsi="宋体" w:hint="eastAsia"/>
                <w:b/>
                <w:sz w:val="20"/>
                <w:szCs w:val="20"/>
              </w:rPr>
              <w:t>课题方向</w:t>
            </w:r>
          </w:p>
        </w:tc>
        <w:tc>
          <w:tcPr>
            <w:tcW w:w="6576" w:type="dxa"/>
            <w:gridSpan w:val="2"/>
            <w:shd w:val="clear" w:color="auto" w:fill="D0CECE" w:themeFill="background2" w:themeFillShade="E6"/>
            <w:vAlign w:val="center"/>
          </w:tcPr>
          <w:p w:rsidR="00C5088B" w:rsidRDefault="00B07E41">
            <w:pPr>
              <w:jc w:val="center"/>
              <w:rPr>
                <w:rFonts w:ascii="宋体" w:hAnsi="宋体"/>
                <w:b/>
                <w:sz w:val="20"/>
                <w:szCs w:val="20"/>
              </w:rPr>
            </w:pPr>
            <w:r>
              <w:rPr>
                <w:rFonts w:ascii="宋体" w:hAnsi="宋体" w:hint="eastAsia"/>
                <w:b/>
                <w:sz w:val="20"/>
                <w:szCs w:val="20"/>
              </w:rPr>
              <w:t>课题介绍</w:t>
            </w:r>
          </w:p>
        </w:tc>
      </w:tr>
      <w:tr w:rsidR="00C5088B">
        <w:trPr>
          <w:trHeight w:val="1896"/>
        </w:trPr>
        <w:tc>
          <w:tcPr>
            <w:tcW w:w="709" w:type="dxa"/>
            <w:vMerge w:val="restart"/>
            <w:vAlign w:val="center"/>
          </w:tcPr>
          <w:p w:rsidR="00C5088B" w:rsidRDefault="00B07E41">
            <w:pPr>
              <w:jc w:val="center"/>
              <w:rPr>
                <w:rFonts w:ascii="宋体" w:hAnsi="宋体"/>
                <w:b/>
                <w:sz w:val="20"/>
              </w:rPr>
            </w:pPr>
            <w:r>
              <w:rPr>
                <w:rFonts w:ascii="宋体" w:hAnsi="宋体"/>
                <w:b/>
                <w:sz w:val="20"/>
              </w:rPr>
              <w:t>A</w:t>
            </w:r>
            <w:r>
              <w:rPr>
                <w:rFonts w:ascii="宋体" w:hAnsi="宋体" w:hint="eastAsia"/>
                <w:b/>
                <w:sz w:val="20"/>
              </w:rPr>
              <w:t>01</w:t>
            </w:r>
          </w:p>
        </w:tc>
        <w:tc>
          <w:tcPr>
            <w:tcW w:w="1504" w:type="dxa"/>
            <w:vMerge w:val="restart"/>
            <w:vAlign w:val="center"/>
          </w:tcPr>
          <w:p w:rsidR="00C5088B" w:rsidRDefault="00B07E41">
            <w:pPr>
              <w:tabs>
                <w:tab w:val="left" w:pos="615"/>
              </w:tabs>
              <w:rPr>
                <w:rFonts w:ascii="宋体" w:hAnsi="宋体"/>
                <w:b/>
                <w:sz w:val="20"/>
              </w:rPr>
            </w:pPr>
            <w:r>
              <w:rPr>
                <w:rFonts w:ascii="宋体" w:hAnsi="宋体" w:hint="eastAsia"/>
                <w:b/>
                <w:sz w:val="20"/>
              </w:rPr>
              <w:t>大数据技术</w:t>
            </w:r>
          </w:p>
        </w:tc>
        <w:tc>
          <w:tcPr>
            <w:tcW w:w="1890" w:type="dxa"/>
            <w:vAlign w:val="center"/>
          </w:tcPr>
          <w:p w:rsidR="00C5088B" w:rsidRDefault="00B07E41" w:rsidP="00B03FE7">
            <w:pPr>
              <w:jc w:val="center"/>
              <w:rPr>
                <w:rFonts w:ascii="宋体" w:hAnsi="宋体"/>
                <w:sz w:val="20"/>
              </w:rPr>
            </w:pPr>
            <w:r>
              <w:rPr>
                <w:rFonts w:ascii="宋体" w:hAnsi="宋体" w:hint="eastAsia"/>
                <w:sz w:val="20"/>
              </w:rPr>
              <w:t>研究课题要求</w:t>
            </w:r>
          </w:p>
        </w:tc>
        <w:tc>
          <w:tcPr>
            <w:tcW w:w="4686" w:type="dxa"/>
            <w:vAlign w:val="center"/>
          </w:tcPr>
          <w:p w:rsidR="00C5088B" w:rsidRDefault="00B07E41">
            <w:pPr>
              <w:ind w:firstLineChars="200" w:firstLine="400"/>
              <w:rPr>
                <w:rFonts w:ascii="宋体" w:hAnsi="宋体"/>
                <w:sz w:val="20"/>
              </w:rPr>
            </w:pPr>
            <w:r>
              <w:rPr>
                <w:rFonts w:ascii="宋体" w:hAnsi="宋体" w:hint="eastAsia"/>
                <w:sz w:val="20"/>
              </w:rPr>
              <w:t>研究的内容主要涉及到大数据应用技术、大数据创新技术、大数据的交叉学科创新；大数据的科研创新为支撑，提出具有工程应用价值和商业推广前景的创新技术。完成科研创新的同时建立一套相关科研的人才培养教学体系，要求人才培养模式必须具有可推广和复现性。</w:t>
            </w:r>
          </w:p>
        </w:tc>
      </w:tr>
      <w:tr w:rsidR="00C5088B">
        <w:trPr>
          <w:trHeight w:val="90"/>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举例说明</w:t>
            </w:r>
          </w:p>
        </w:tc>
        <w:tc>
          <w:tcPr>
            <w:tcW w:w="4686" w:type="dxa"/>
            <w:vAlign w:val="center"/>
          </w:tcPr>
          <w:p w:rsidR="00C5088B" w:rsidRDefault="00B07E41">
            <w:pPr>
              <w:ind w:firstLineChars="200" w:firstLine="400"/>
              <w:rPr>
                <w:rFonts w:ascii="宋体" w:hAnsi="宋体"/>
                <w:sz w:val="20"/>
              </w:rPr>
            </w:pPr>
            <w:r>
              <w:rPr>
                <w:rFonts w:ascii="宋体" w:hAnsi="宋体" w:hint="eastAsia"/>
                <w:sz w:val="20"/>
              </w:rPr>
              <w:t>如生物信息大数据，在完成大数据在生物信息领域的科研创新研究同时，应提供相应的生物信息领域大数据人才的培养方案和教学体系，至少应满足60课时的上课需求。教学材料包括教学理论，教学实验指导，教学ppt，实验环境及源码，教学视频，建议配套综合实训内容。</w:t>
            </w:r>
          </w:p>
        </w:tc>
      </w:tr>
      <w:tr w:rsidR="00C5088B" w:rsidTr="00E11409">
        <w:trPr>
          <w:trHeight w:val="1550"/>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ind w:firstLineChars="100" w:firstLine="200"/>
              <w:jc w:val="center"/>
              <w:rPr>
                <w:rFonts w:ascii="宋体" w:hAnsi="宋体"/>
                <w:sz w:val="20"/>
              </w:rPr>
            </w:pPr>
            <w:r>
              <w:rPr>
                <w:rFonts w:ascii="宋体" w:hAnsi="宋体" w:hint="eastAsia"/>
                <w:sz w:val="20"/>
              </w:rPr>
              <w:t>建议研究内容</w:t>
            </w:r>
          </w:p>
          <w:p w:rsidR="00C5088B" w:rsidRDefault="00B07E41" w:rsidP="00B03FE7">
            <w:pPr>
              <w:jc w:val="center"/>
              <w:rPr>
                <w:rFonts w:ascii="宋体" w:hAnsi="宋体"/>
                <w:sz w:val="20"/>
              </w:rPr>
            </w:pPr>
            <w:r>
              <w:rPr>
                <w:rFonts w:ascii="宋体" w:hAnsi="宋体" w:hint="eastAsia"/>
                <w:sz w:val="20"/>
              </w:rPr>
              <w:t>（不限于）</w:t>
            </w:r>
          </w:p>
        </w:tc>
        <w:tc>
          <w:tcPr>
            <w:tcW w:w="4686" w:type="dxa"/>
            <w:vAlign w:val="center"/>
          </w:tcPr>
          <w:p w:rsidR="00C5088B" w:rsidRDefault="00B07E41">
            <w:pPr>
              <w:ind w:firstLineChars="200" w:firstLine="400"/>
              <w:rPr>
                <w:rFonts w:ascii="宋体" w:hAnsi="宋体"/>
                <w:sz w:val="20"/>
              </w:rPr>
            </w:pPr>
            <w:r>
              <w:rPr>
                <w:rFonts w:ascii="宋体" w:hAnsi="宋体" w:hint="eastAsia"/>
                <w:sz w:val="20"/>
              </w:rPr>
              <w:t>临床医疗大数据，大数据中医药物分析，人体基因序列比对，交通大数据，环境气象大数据，大数据可视化，数据挖掘，大规模大数据处理机群的优化，大数据处理算法优化等。</w:t>
            </w:r>
          </w:p>
          <w:p w:rsidR="00C5088B" w:rsidRDefault="00B07E41">
            <w:pPr>
              <w:ind w:firstLineChars="200" w:firstLine="400"/>
              <w:rPr>
                <w:rFonts w:ascii="宋体" w:hAnsi="宋体"/>
                <w:sz w:val="20"/>
              </w:rPr>
            </w:pPr>
            <w:r>
              <w:rPr>
                <w:rFonts w:ascii="宋体" w:hAnsi="宋体" w:hint="eastAsia"/>
                <w:sz w:val="20"/>
              </w:rPr>
              <w:t>申报院校有源数据支撑的为申报加分项。</w:t>
            </w:r>
          </w:p>
        </w:tc>
      </w:tr>
      <w:tr w:rsidR="00C5088B" w:rsidTr="00E11409">
        <w:trPr>
          <w:trHeight w:val="2117"/>
        </w:trPr>
        <w:tc>
          <w:tcPr>
            <w:tcW w:w="709" w:type="dxa"/>
            <w:vMerge w:val="restart"/>
            <w:vAlign w:val="center"/>
          </w:tcPr>
          <w:p w:rsidR="00C5088B" w:rsidRDefault="00B07E41">
            <w:pPr>
              <w:jc w:val="center"/>
              <w:rPr>
                <w:rFonts w:ascii="宋体" w:hAnsi="宋体"/>
                <w:b/>
                <w:sz w:val="20"/>
              </w:rPr>
            </w:pPr>
            <w:r>
              <w:rPr>
                <w:rFonts w:ascii="宋体" w:hAnsi="宋体"/>
                <w:b/>
                <w:sz w:val="20"/>
              </w:rPr>
              <w:lastRenderedPageBreak/>
              <w:t>A</w:t>
            </w:r>
            <w:r>
              <w:rPr>
                <w:rFonts w:ascii="宋体" w:hAnsi="宋体" w:hint="eastAsia"/>
                <w:b/>
                <w:sz w:val="20"/>
              </w:rPr>
              <w:t>0</w:t>
            </w:r>
            <w:r>
              <w:rPr>
                <w:rFonts w:ascii="宋体" w:hAnsi="宋体"/>
                <w:b/>
                <w:sz w:val="20"/>
              </w:rPr>
              <w:t>2</w:t>
            </w:r>
          </w:p>
        </w:tc>
        <w:tc>
          <w:tcPr>
            <w:tcW w:w="1504" w:type="dxa"/>
            <w:vMerge w:val="restart"/>
            <w:vAlign w:val="center"/>
          </w:tcPr>
          <w:p w:rsidR="00C5088B" w:rsidRDefault="00B07E41">
            <w:pPr>
              <w:tabs>
                <w:tab w:val="left" w:pos="615"/>
              </w:tabs>
              <w:rPr>
                <w:rFonts w:ascii="宋体" w:hAnsi="宋体"/>
                <w:b/>
                <w:sz w:val="20"/>
              </w:rPr>
            </w:pPr>
            <w:r>
              <w:rPr>
                <w:rFonts w:ascii="宋体" w:hAnsi="宋体" w:hint="eastAsia"/>
                <w:b/>
                <w:sz w:val="20"/>
              </w:rPr>
              <w:t>网络空间安全</w:t>
            </w:r>
          </w:p>
        </w:tc>
        <w:tc>
          <w:tcPr>
            <w:tcW w:w="1890" w:type="dxa"/>
            <w:vAlign w:val="center"/>
          </w:tcPr>
          <w:p w:rsidR="00C5088B" w:rsidRDefault="00B07E41" w:rsidP="00B03FE7">
            <w:pPr>
              <w:jc w:val="center"/>
              <w:rPr>
                <w:rFonts w:ascii="宋体" w:hAnsi="宋体"/>
                <w:sz w:val="20"/>
              </w:rPr>
            </w:pPr>
            <w:r>
              <w:rPr>
                <w:rFonts w:ascii="宋体" w:hAnsi="宋体" w:hint="eastAsia"/>
                <w:sz w:val="20"/>
              </w:rPr>
              <w:t>研究课题要求</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研究内容主要涉及网络空间安全各领域技术。以网络空间的科研创新为支撑，提出具有工程应用价值和商业推广前景的创新技术。完成科研创新的同时建立一套相关科研的人才培养教学体系，要求人才培养模式必须具有可推广和复现性。</w:t>
            </w:r>
          </w:p>
        </w:tc>
      </w:tr>
      <w:tr w:rsidR="00C5088B" w:rsidTr="00E11409">
        <w:trPr>
          <w:trHeight w:val="2260"/>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举例说明</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如物联网安全，在完成与物联网安全相关的创新研究同时，应提供信息安全与物联网的交叉人才培养方案和教学体系，至少应满足60课时的上课需求。教学材料包括教学理论，教学实验指导，教学ppt，实验环境及源码，教学视频，建议配套综合实训内容。</w:t>
            </w:r>
          </w:p>
        </w:tc>
      </w:tr>
      <w:tr w:rsidR="00C5088B" w:rsidTr="00E11409">
        <w:trPr>
          <w:trHeight w:val="1272"/>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建议研究内容</w:t>
            </w:r>
          </w:p>
          <w:p w:rsidR="00C5088B" w:rsidRDefault="00B07E41" w:rsidP="00B03FE7">
            <w:pPr>
              <w:jc w:val="center"/>
              <w:rPr>
                <w:rFonts w:ascii="宋体" w:hAnsi="宋体"/>
                <w:sz w:val="20"/>
              </w:rPr>
            </w:pPr>
            <w:r>
              <w:rPr>
                <w:rFonts w:ascii="宋体" w:hAnsi="宋体" w:hint="eastAsia"/>
                <w:sz w:val="20"/>
              </w:rPr>
              <w:t>（不限于）</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网络安全，密码学，电子取证，内容安全，人工智能安全，物联网安全，安全监控等。</w:t>
            </w:r>
          </w:p>
        </w:tc>
      </w:tr>
      <w:tr w:rsidR="00C5088B" w:rsidTr="00E11409">
        <w:trPr>
          <w:trHeight w:val="1956"/>
        </w:trPr>
        <w:tc>
          <w:tcPr>
            <w:tcW w:w="709" w:type="dxa"/>
            <w:vMerge w:val="restart"/>
            <w:vAlign w:val="center"/>
          </w:tcPr>
          <w:p w:rsidR="00C5088B" w:rsidRDefault="00B07E41">
            <w:pPr>
              <w:jc w:val="center"/>
              <w:rPr>
                <w:rFonts w:ascii="宋体" w:hAnsi="宋体"/>
                <w:b/>
                <w:sz w:val="20"/>
              </w:rPr>
            </w:pPr>
            <w:r>
              <w:rPr>
                <w:rFonts w:ascii="宋体" w:hAnsi="宋体"/>
                <w:b/>
                <w:sz w:val="20"/>
              </w:rPr>
              <w:t>A</w:t>
            </w:r>
            <w:r>
              <w:rPr>
                <w:rFonts w:ascii="宋体" w:hAnsi="宋体" w:hint="eastAsia"/>
                <w:b/>
                <w:sz w:val="20"/>
              </w:rPr>
              <w:t>03</w:t>
            </w:r>
          </w:p>
        </w:tc>
        <w:tc>
          <w:tcPr>
            <w:tcW w:w="1504" w:type="dxa"/>
            <w:vMerge w:val="restart"/>
            <w:vAlign w:val="center"/>
          </w:tcPr>
          <w:p w:rsidR="00C5088B" w:rsidRDefault="00B07E41">
            <w:pPr>
              <w:tabs>
                <w:tab w:val="left" w:pos="615"/>
              </w:tabs>
              <w:rPr>
                <w:rFonts w:ascii="宋体" w:hAnsi="宋体"/>
                <w:b/>
                <w:sz w:val="20"/>
              </w:rPr>
            </w:pPr>
            <w:r>
              <w:rPr>
                <w:rFonts w:ascii="宋体" w:hAnsi="宋体" w:hint="eastAsia"/>
                <w:b/>
                <w:sz w:val="20"/>
              </w:rPr>
              <w:t>人工智能技术</w:t>
            </w:r>
          </w:p>
        </w:tc>
        <w:tc>
          <w:tcPr>
            <w:tcW w:w="1890" w:type="dxa"/>
            <w:vAlign w:val="center"/>
          </w:tcPr>
          <w:p w:rsidR="00C5088B" w:rsidRDefault="00B07E41" w:rsidP="00B03FE7">
            <w:pPr>
              <w:jc w:val="center"/>
              <w:rPr>
                <w:rFonts w:ascii="宋体" w:hAnsi="宋体"/>
                <w:sz w:val="20"/>
              </w:rPr>
            </w:pPr>
            <w:r>
              <w:rPr>
                <w:rFonts w:ascii="宋体" w:hAnsi="宋体" w:hint="eastAsia"/>
                <w:sz w:val="20"/>
              </w:rPr>
              <w:t>研究课题要求</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研究内容主要涉及人工智能技术的科研创新及应用创新。以人工智能研究为支撑，提出具有工程应用价值和商业推广前景的创新技术。完成科研创新的同时建立一套相关科研的人才培养教学体系，要求人才培养模式必须具有可推广和复现性。</w:t>
            </w:r>
          </w:p>
        </w:tc>
      </w:tr>
      <w:tr w:rsidR="00C5088B" w:rsidTr="00CA2834">
        <w:trPr>
          <w:trHeight w:val="3259"/>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举例说明</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如基于精准人脸识别的行为轨迹预测研究，在完成科研创新研究的同时应提供基础人脸识别系统的构建方法和学习指南及算法优化的教学方案，基于此分析行为轨迹的相关背景知识和算法学习。对应人才培养方案和教学体系，至少应满足60课时的上课需求。教学材料包括教学理论，教学实验指导，教学ppt，实验环境及源码，教学视频，建议配套综合实训内容。</w:t>
            </w:r>
          </w:p>
        </w:tc>
      </w:tr>
      <w:tr w:rsidR="00C5088B" w:rsidTr="00E11409">
        <w:trPr>
          <w:trHeight w:val="1687"/>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建议研究内容</w:t>
            </w:r>
          </w:p>
          <w:p w:rsidR="00C5088B" w:rsidRDefault="00B07E41" w:rsidP="00B03FE7">
            <w:pPr>
              <w:jc w:val="center"/>
              <w:rPr>
                <w:rFonts w:ascii="宋体" w:hAnsi="宋体"/>
                <w:sz w:val="20"/>
              </w:rPr>
            </w:pPr>
            <w:r>
              <w:rPr>
                <w:rFonts w:ascii="宋体" w:hAnsi="宋体" w:hint="eastAsia"/>
                <w:sz w:val="20"/>
              </w:rPr>
              <w:t>（不限于）</w:t>
            </w:r>
          </w:p>
        </w:tc>
        <w:tc>
          <w:tcPr>
            <w:tcW w:w="4686" w:type="dxa"/>
            <w:vAlign w:val="center"/>
          </w:tcPr>
          <w:p w:rsidR="00C5088B" w:rsidRDefault="00B07E41" w:rsidP="00E11409">
            <w:pPr>
              <w:spacing w:line="360" w:lineRule="exact"/>
              <w:ind w:firstLineChars="200" w:firstLine="400"/>
              <w:rPr>
                <w:rFonts w:ascii="宋体" w:hAnsi="宋体"/>
                <w:sz w:val="20"/>
              </w:rPr>
            </w:pPr>
            <w:r>
              <w:rPr>
                <w:rFonts w:ascii="宋体" w:hAnsi="宋体" w:hint="eastAsia"/>
                <w:sz w:val="20"/>
              </w:rPr>
              <w:t>智能医院门诊，人工智能精准医疗，智能病床管理，行为预测，人工智能信息安全攻防，人工智能机器人，人工智能对弈系统，人工智能教学考核等。</w:t>
            </w:r>
          </w:p>
        </w:tc>
      </w:tr>
      <w:tr w:rsidR="00C5088B" w:rsidTr="00CA2834">
        <w:trPr>
          <w:trHeight w:val="1975"/>
        </w:trPr>
        <w:tc>
          <w:tcPr>
            <w:tcW w:w="709" w:type="dxa"/>
            <w:vMerge w:val="restart"/>
            <w:vAlign w:val="center"/>
          </w:tcPr>
          <w:p w:rsidR="00C5088B" w:rsidRDefault="00B07E41">
            <w:pPr>
              <w:jc w:val="center"/>
              <w:rPr>
                <w:rFonts w:ascii="宋体" w:hAnsi="宋体"/>
                <w:b/>
                <w:sz w:val="20"/>
              </w:rPr>
            </w:pPr>
            <w:r>
              <w:rPr>
                <w:rFonts w:ascii="宋体" w:hAnsi="宋体" w:hint="eastAsia"/>
                <w:b/>
                <w:sz w:val="20"/>
              </w:rPr>
              <w:lastRenderedPageBreak/>
              <w:t>A04</w:t>
            </w:r>
          </w:p>
        </w:tc>
        <w:tc>
          <w:tcPr>
            <w:tcW w:w="1504" w:type="dxa"/>
            <w:vMerge w:val="restart"/>
            <w:vAlign w:val="center"/>
          </w:tcPr>
          <w:p w:rsidR="00C5088B" w:rsidRDefault="00B07E41">
            <w:pPr>
              <w:tabs>
                <w:tab w:val="left" w:pos="615"/>
              </w:tabs>
              <w:rPr>
                <w:rFonts w:ascii="宋体" w:hAnsi="宋体"/>
                <w:b/>
                <w:sz w:val="20"/>
              </w:rPr>
            </w:pPr>
            <w:r>
              <w:rPr>
                <w:rFonts w:ascii="宋体" w:hAnsi="宋体" w:hint="eastAsia"/>
                <w:b/>
                <w:sz w:val="20"/>
              </w:rPr>
              <w:t>云计算技术</w:t>
            </w:r>
          </w:p>
        </w:tc>
        <w:tc>
          <w:tcPr>
            <w:tcW w:w="1890" w:type="dxa"/>
            <w:vAlign w:val="center"/>
          </w:tcPr>
          <w:p w:rsidR="00C5088B" w:rsidRDefault="00B07E41" w:rsidP="00B03FE7">
            <w:pPr>
              <w:jc w:val="center"/>
              <w:rPr>
                <w:rFonts w:ascii="宋体" w:hAnsi="宋体"/>
                <w:sz w:val="20"/>
              </w:rPr>
            </w:pPr>
            <w:r>
              <w:rPr>
                <w:rFonts w:ascii="宋体" w:hAnsi="宋体" w:hint="eastAsia"/>
                <w:sz w:val="20"/>
              </w:rPr>
              <w:t>研究课题要求</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研究内容主要涉及云计算技术的科研创新及应用创新。以云计算研究为支撑，提出具有工程应用价值和商业推广前景的创新技术。完成科研创新的同时建立一套相关科研的人才培养教学体系，要求人才培养模式必须具有可推广和复现性。</w:t>
            </w:r>
          </w:p>
        </w:tc>
      </w:tr>
      <w:tr w:rsidR="00C5088B" w:rsidTr="00CA2834">
        <w:trPr>
          <w:trHeight w:val="2824"/>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举例说明</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如基于云计算的病毒检测研究，在完成科研创新研究的同时应提供云计算的基础及相关学习指南及优化的教学方案，病毒检测的相关学科知识和实验学习。对应人才培养方案和教学体系，至少应满足60课时的上课需求。教学材料包括教学理论，教学实验指导，教学ppt，实验环境及源码，教学视频，建议配套综合实训内容。</w:t>
            </w:r>
          </w:p>
        </w:tc>
      </w:tr>
      <w:tr w:rsidR="00C5088B" w:rsidTr="00CA2834">
        <w:trPr>
          <w:trHeight w:val="1277"/>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建议研究内容</w:t>
            </w:r>
          </w:p>
          <w:p w:rsidR="00C5088B" w:rsidRDefault="00B07E41" w:rsidP="00B03FE7">
            <w:pPr>
              <w:jc w:val="center"/>
              <w:rPr>
                <w:rFonts w:ascii="宋体" w:hAnsi="宋体"/>
                <w:sz w:val="20"/>
              </w:rPr>
            </w:pPr>
            <w:r>
              <w:rPr>
                <w:rFonts w:ascii="宋体" w:hAnsi="宋体" w:hint="eastAsia"/>
                <w:sz w:val="20"/>
              </w:rPr>
              <w:t>（不限于）</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Aneka云的大数据运用，云主机的调度优化，云虚拟网络的相关研究，物联网云的构建，云病毒优化检测等。</w:t>
            </w:r>
          </w:p>
        </w:tc>
      </w:tr>
      <w:tr w:rsidR="00C5088B" w:rsidTr="00CA2834">
        <w:trPr>
          <w:trHeight w:val="1980"/>
        </w:trPr>
        <w:tc>
          <w:tcPr>
            <w:tcW w:w="709" w:type="dxa"/>
            <w:vMerge w:val="restart"/>
            <w:vAlign w:val="center"/>
          </w:tcPr>
          <w:p w:rsidR="00C5088B" w:rsidRDefault="00B07E41">
            <w:pPr>
              <w:jc w:val="center"/>
              <w:rPr>
                <w:rFonts w:ascii="宋体" w:hAnsi="宋体"/>
                <w:b/>
                <w:sz w:val="20"/>
              </w:rPr>
            </w:pPr>
            <w:r>
              <w:rPr>
                <w:rFonts w:ascii="宋体" w:hAnsi="宋体" w:hint="eastAsia"/>
                <w:b/>
                <w:sz w:val="20"/>
              </w:rPr>
              <w:t>A05</w:t>
            </w:r>
          </w:p>
        </w:tc>
        <w:tc>
          <w:tcPr>
            <w:tcW w:w="1504" w:type="dxa"/>
            <w:vMerge w:val="restart"/>
            <w:vAlign w:val="center"/>
          </w:tcPr>
          <w:p w:rsidR="00C5088B" w:rsidRDefault="00B07E41">
            <w:pPr>
              <w:tabs>
                <w:tab w:val="left" w:pos="615"/>
              </w:tabs>
              <w:rPr>
                <w:rFonts w:ascii="宋体" w:hAnsi="宋体"/>
                <w:b/>
                <w:sz w:val="20"/>
              </w:rPr>
            </w:pPr>
            <w:r>
              <w:rPr>
                <w:rFonts w:ascii="宋体" w:hAnsi="宋体" w:hint="eastAsia"/>
                <w:b/>
                <w:sz w:val="20"/>
              </w:rPr>
              <w:t>区块链技术</w:t>
            </w:r>
          </w:p>
        </w:tc>
        <w:tc>
          <w:tcPr>
            <w:tcW w:w="1890" w:type="dxa"/>
            <w:vAlign w:val="center"/>
          </w:tcPr>
          <w:p w:rsidR="00C5088B" w:rsidRDefault="00B07E41" w:rsidP="00B03FE7">
            <w:pPr>
              <w:jc w:val="center"/>
              <w:rPr>
                <w:rFonts w:ascii="宋体" w:hAnsi="宋体"/>
                <w:sz w:val="20"/>
              </w:rPr>
            </w:pPr>
            <w:r>
              <w:rPr>
                <w:rFonts w:ascii="宋体" w:hAnsi="宋体" w:hint="eastAsia"/>
                <w:sz w:val="20"/>
              </w:rPr>
              <w:t>研究课题要求</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研究内容主要涉及区块链技术的科研创新及应用创新。以区块链研究为支撑，提出具有工程应用价值和商业推广前景的创新技术。完成科研创新的同时建立一套相关科研的人才培养教学体系，要求人才培养模式必须具有可推广和复现性。</w:t>
            </w:r>
          </w:p>
        </w:tc>
      </w:tr>
      <w:tr w:rsidR="00C5088B" w:rsidTr="00CA2834">
        <w:trPr>
          <w:trHeight w:val="2250"/>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举例说明</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如基于区块链的可信交易研究，在完成科研创新研究的同时应提区块链的学习指南及相关科研内容的教学方案。对应人才培养方案和教学体系，至少应满足60课时的上课需求。教学材料包括教学理论，教学实验指导，教学ppt，实验环境及源码，教学视频，建议配套综合实训内容。</w:t>
            </w:r>
          </w:p>
        </w:tc>
      </w:tr>
      <w:tr w:rsidR="00C5088B" w:rsidTr="00CA2834">
        <w:trPr>
          <w:trHeight w:val="1188"/>
        </w:trPr>
        <w:tc>
          <w:tcPr>
            <w:tcW w:w="709" w:type="dxa"/>
            <w:vMerge/>
            <w:vAlign w:val="center"/>
          </w:tcPr>
          <w:p w:rsidR="00C5088B" w:rsidRDefault="00C5088B">
            <w:pPr>
              <w:jc w:val="center"/>
              <w:rPr>
                <w:rFonts w:ascii="宋体" w:hAnsi="宋体"/>
                <w:b/>
                <w:sz w:val="20"/>
              </w:rPr>
            </w:pPr>
          </w:p>
        </w:tc>
        <w:tc>
          <w:tcPr>
            <w:tcW w:w="1504" w:type="dxa"/>
            <w:vMerge/>
            <w:vAlign w:val="center"/>
          </w:tcPr>
          <w:p w:rsidR="00C5088B" w:rsidRDefault="00C5088B">
            <w:pPr>
              <w:tabs>
                <w:tab w:val="left" w:pos="615"/>
              </w:tabs>
              <w:rPr>
                <w:rFonts w:ascii="宋体" w:hAnsi="宋体"/>
                <w:b/>
                <w:sz w:val="20"/>
              </w:rPr>
            </w:pPr>
          </w:p>
        </w:tc>
        <w:tc>
          <w:tcPr>
            <w:tcW w:w="1890" w:type="dxa"/>
            <w:vAlign w:val="center"/>
          </w:tcPr>
          <w:p w:rsidR="00C5088B" w:rsidRDefault="00B07E41" w:rsidP="00B03FE7">
            <w:pPr>
              <w:jc w:val="center"/>
              <w:rPr>
                <w:rFonts w:ascii="宋体" w:hAnsi="宋体"/>
                <w:sz w:val="20"/>
              </w:rPr>
            </w:pPr>
            <w:r>
              <w:rPr>
                <w:rFonts w:ascii="宋体" w:hAnsi="宋体" w:hint="eastAsia"/>
                <w:sz w:val="20"/>
              </w:rPr>
              <w:t>建议研究内容</w:t>
            </w:r>
          </w:p>
          <w:p w:rsidR="00C5088B" w:rsidRDefault="00B07E41" w:rsidP="00B03FE7">
            <w:pPr>
              <w:jc w:val="center"/>
              <w:rPr>
                <w:rFonts w:ascii="宋体" w:hAnsi="宋体"/>
                <w:sz w:val="20"/>
              </w:rPr>
            </w:pPr>
            <w:r>
              <w:rPr>
                <w:rFonts w:ascii="宋体" w:hAnsi="宋体" w:hint="eastAsia"/>
                <w:sz w:val="20"/>
              </w:rPr>
              <w:t>（不限于）</w:t>
            </w:r>
          </w:p>
        </w:tc>
        <w:tc>
          <w:tcPr>
            <w:tcW w:w="4686" w:type="dxa"/>
            <w:vAlign w:val="center"/>
          </w:tcPr>
          <w:p w:rsidR="00C5088B" w:rsidRDefault="00B07E41" w:rsidP="00CA2834">
            <w:pPr>
              <w:spacing w:line="360" w:lineRule="exact"/>
              <w:ind w:firstLineChars="200" w:firstLine="400"/>
              <w:rPr>
                <w:rFonts w:ascii="宋体" w:hAnsi="宋体"/>
                <w:sz w:val="20"/>
              </w:rPr>
            </w:pPr>
            <w:r>
              <w:rPr>
                <w:rFonts w:ascii="宋体" w:hAnsi="宋体" w:hint="eastAsia"/>
                <w:sz w:val="20"/>
              </w:rPr>
              <w:t>区块链应用管理、开源区块链技术优化与实用场景下的应用，基于区块链技术建立可信资料共享系统等。</w:t>
            </w:r>
          </w:p>
        </w:tc>
      </w:tr>
    </w:tbl>
    <w:p w:rsidR="00C5088B" w:rsidRDefault="00B07E41" w:rsidP="00F6354C">
      <w:pPr>
        <w:pStyle w:val="a9"/>
        <w:spacing w:line="460" w:lineRule="exact"/>
        <w:ind w:left="0" w:firstLineChars="200" w:firstLine="480"/>
        <w:rPr>
          <w:rFonts w:hint="eastAsia"/>
        </w:rPr>
      </w:pPr>
      <w:r>
        <w:rPr>
          <w:rFonts w:asciiTheme="minorEastAsia" w:hAnsiTheme="minorEastAsia" w:hint="eastAsia"/>
          <w:sz w:val="24"/>
        </w:rPr>
        <w:t>2.教学改革基金。</w:t>
      </w:r>
      <w:r w:rsidR="00F6354C">
        <w:rPr>
          <w:rFonts w:asciiTheme="minorEastAsia" w:hAnsiTheme="minorEastAsia" w:hint="eastAsia"/>
          <w:sz w:val="24"/>
        </w:rPr>
        <w:t>略。</w:t>
      </w:r>
    </w:p>
    <w:p w:rsidR="00C5088B" w:rsidRDefault="00B07E41" w:rsidP="00AC658E">
      <w:pPr>
        <w:pStyle w:val="2"/>
        <w:numPr>
          <w:ilvl w:val="0"/>
          <w:numId w:val="0"/>
        </w:numPr>
        <w:spacing w:beforeLines="0" w:line="440" w:lineRule="exact"/>
        <w:ind w:firstLineChars="200" w:firstLine="560"/>
      </w:pPr>
      <w:r>
        <w:rPr>
          <w:rFonts w:hint="eastAsia"/>
        </w:rPr>
        <w:t>二、申报条件</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1.科研创新基金申报条件</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（1）要求申报院校具有前期相关研究成果与积累，研究课题具有一定的工程、应用或商业价值，研究成果具有市场推广价值或教学意义。对于应用创新</w:t>
      </w:r>
      <w:r>
        <w:rPr>
          <w:rFonts w:asciiTheme="minorEastAsia" w:hAnsiTheme="minorEastAsia" w:hint="eastAsia"/>
          <w:color w:val="000000" w:themeColor="text1"/>
          <w:sz w:val="24"/>
        </w:rPr>
        <w:t>、</w:t>
      </w:r>
      <w:r>
        <w:rPr>
          <w:rFonts w:asciiTheme="minorEastAsia" w:hAnsiTheme="minorEastAsia" w:hint="eastAsia"/>
          <w:sz w:val="24"/>
        </w:rPr>
        <w:lastRenderedPageBreak/>
        <w:t>工程创新型科研项目，已具备原型系统者优先。获得与研究内容相关的研究成果的团队，优先支持。鼓励交叉学科的创新科研、应用课题，如生物信息与大数据、临床医学与人工智能，物联网信息安全等相关科研课题</w:t>
      </w:r>
      <w:r w:rsidR="00CA2834">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color w:val="FF0000"/>
          <w:sz w:val="24"/>
        </w:rPr>
      </w:pPr>
      <w:r>
        <w:rPr>
          <w:rFonts w:asciiTheme="minorEastAsia" w:hAnsiTheme="minorEastAsia" w:hint="eastAsia"/>
          <w:sz w:val="24"/>
        </w:rPr>
        <w:t>（2）</w:t>
      </w:r>
      <w:r>
        <w:rPr>
          <w:rFonts w:asciiTheme="minorEastAsia" w:hAnsiTheme="minorEastAsia" w:hint="eastAsia"/>
          <w:color w:val="000000" w:themeColor="text1"/>
          <w:sz w:val="24"/>
        </w:rPr>
        <w:t>要求基金申报者最终能对该领域的人才培养和基础技能训练建立相应的教学体系和内容，以达到人才培养模式复用推广的目的。教学内容包括理论教学资料、实验教学资料和配套实验环境</w:t>
      </w:r>
      <w:r w:rsidR="00CA2834">
        <w:rPr>
          <w:rFonts w:asciiTheme="minorEastAsia" w:hAnsiTheme="minorEastAsia" w:hint="eastAsia"/>
          <w:color w:val="000000" w:themeColor="text1"/>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（3）团队的组成应以具有硕士研究生（含）以上学历的成员为主</w:t>
      </w:r>
      <w:r w:rsidR="00CA2834">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（4）优先支持已经设立</w:t>
      </w:r>
      <w:r>
        <w:rPr>
          <w:rFonts w:asciiTheme="minorEastAsia" w:hAnsiTheme="minorEastAsia" w:hint="eastAsia"/>
          <w:sz w:val="24"/>
          <w:szCs w:val="22"/>
        </w:rPr>
        <w:t>大数据、网络空间安全、人工智能、大数据医疗、人工智能医疗、区块链、云计算专业</w:t>
      </w:r>
      <w:r>
        <w:rPr>
          <w:rFonts w:asciiTheme="minorEastAsia" w:hAnsiTheme="minorEastAsia" w:hint="eastAsia"/>
          <w:sz w:val="24"/>
        </w:rPr>
        <w:t>或者已经成立相关研究中心的院校</w:t>
      </w:r>
      <w:r w:rsidR="00CA2834">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（5）优先支持选题方向符合表一要求的课题</w:t>
      </w:r>
      <w:r w:rsidR="00CA2834">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（6）优先支持研究内容有创造性、前瞻性和实用性，有商业化前景的课题</w:t>
      </w:r>
      <w:r w:rsidR="00CA2834">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（7）优先支持有明确研究成果，成果有应用价值，可复制、可推广的课题，不支持纯理论研究与无法建立人才培养体系的课题</w:t>
      </w:r>
      <w:r w:rsidR="00AC658E">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（8）优先支持研究方向明确，研究内容详实，可建立良好的能够推广复用的人才培养体系的课题</w:t>
      </w:r>
      <w:r w:rsidR="00AC658E">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（9）优先支持院校对所申报课题有资金、政策、人员和场地等条件支持的课题</w:t>
      </w:r>
      <w:r w:rsidR="00AC658E">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（10）可支持多个院校成立联合课题组，完成较为复杂的研究课题的联合申报和研究</w:t>
      </w:r>
      <w:r w:rsidR="00AC658E">
        <w:rPr>
          <w:rFonts w:asciiTheme="minorEastAsia" w:hAnsiTheme="minorEastAsia" w:hint="eastAsia"/>
          <w:sz w:val="24"/>
        </w:rPr>
        <w:t>；</w:t>
      </w:r>
    </w:p>
    <w:p w:rsidR="00C5088B" w:rsidRDefault="00B07E41" w:rsidP="00AC658E">
      <w:pPr>
        <w:spacing w:line="440" w:lineRule="exact"/>
        <w:ind w:firstLineChars="200" w:firstLine="480"/>
        <w:rPr>
          <w:rFonts w:asciiTheme="minorEastAsia" w:hAnsiTheme="minorEastAsia"/>
          <w:sz w:val="24"/>
        </w:rPr>
      </w:pPr>
      <w:r>
        <w:rPr>
          <w:rFonts w:asciiTheme="minorEastAsia" w:hAnsiTheme="minorEastAsia" w:hint="eastAsia"/>
          <w:sz w:val="24"/>
        </w:rPr>
        <w:t>（11）课题组需具备可独立支配的课题研究基础软硬件条件，基本要求如表</w:t>
      </w:r>
      <w:r w:rsidR="00CF1845">
        <w:rPr>
          <w:rFonts w:asciiTheme="minorEastAsia" w:hAnsiTheme="minorEastAsia" w:hint="eastAsia"/>
          <w:sz w:val="24"/>
        </w:rPr>
        <w:t>二</w:t>
      </w:r>
      <w:r>
        <w:rPr>
          <w:rFonts w:asciiTheme="minorEastAsia" w:hAnsiTheme="minorEastAsia" w:hint="eastAsia"/>
          <w:sz w:val="24"/>
        </w:rPr>
        <w:t>所示</w:t>
      </w:r>
      <w:r w:rsidR="00AC658E">
        <w:rPr>
          <w:rFonts w:asciiTheme="minorEastAsia" w:hAnsiTheme="minorEastAsia" w:hint="eastAsia"/>
          <w:sz w:val="24"/>
        </w:rPr>
        <w:t>。</w:t>
      </w:r>
    </w:p>
    <w:p w:rsidR="00C5088B" w:rsidRDefault="00B07E41" w:rsidP="00F6354C">
      <w:pPr>
        <w:spacing w:afterLines="50" w:after="156" w:line="460" w:lineRule="exact"/>
        <w:jc w:val="center"/>
        <w:rPr>
          <w:b/>
          <w:sz w:val="24"/>
        </w:rPr>
      </w:pPr>
      <w:r>
        <w:rPr>
          <w:rFonts w:hint="eastAsia"/>
          <w:b/>
          <w:sz w:val="24"/>
        </w:rPr>
        <w:t>表</w:t>
      </w:r>
      <w:r w:rsidR="00CF1845">
        <w:rPr>
          <w:rFonts w:hint="eastAsia"/>
          <w:b/>
          <w:sz w:val="24"/>
        </w:rPr>
        <w:t>二</w:t>
      </w:r>
      <w:r w:rsidR="00C703C7">
        <w:rPr>
          <w:rFonts w:hint="eastAsia"/>
          <w:b/>
          <w:sz w:val="24"/>
        </w:rPr>
        <w:t xml:space="preserve"> </w:t>
      </w:r>
      <w:r w:rsidR="00AC658E">
        <w:rPr>
          <w:rFonts w:hint="eastAsia"/>
          <w:b/>
          <w:sz w:val="24"/>
        </w:rPr>
        <w:t>科研创新基金课题所需科研条件的基本要求</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5812"/>
      </w:tblGrid>
      <w:tr w:rsidR="00C5088B" w:rsidTr="00AC658E">
        <w:trPr>
          <w:trHeight w:val="270"/>
        </w:trPr>
        <w:tc>
          <w:tcPr>
            <w:tcW w:w="1276" w:type="dxa"/>
            <w:shd w:val="clear" w:color="000000" w:fill="C0C0C0"/>
            <w:vAlign w:val="center"/>
          </w:tcPr>
          <w:p w:rsidR="00C5088B" w:rsidRDefault="00B07E41">
            <w:pPr>
              <w:jc w:val="center"/>
              <w:rPr>
                <w:rFonts w:ascii="宋体" w:hAnsi="宋体"/>
                <w:b/>
                <w:sz w:val="20"/>
              </w:rPr>
            </w:pPr>
            <w:r>
              <w:rPr>
                <w:rFonts w:ascii="宋体" w:hAnsi="宋体" w:hint="eastAsia"/>
                <w:b/>
                <w:sz w:val="20"/>
              </w:rPr>
              <w:t>系统</w:t>
            </w:r>
          </w:p>
        </w:tc>
        <w:tc>
          <w:tcPr>
            <w:tcW w:w="2693" w:type="dxa"/>
            <w:shd w:val="clear" w:color="000000" w:fill="C0C0C0"/>
            <w:vAlign w:val="center"/>
          </w:tcPr>
          <w:p w:rsidR="00C5088B" w:rsidRDefault="00B07E41">
            <w:pPr>
              <w:jc w:val="center"/>
              <w:rPr>
                <w:rFonts w:ascii="宋体" w:hAnsi="宋体"/>
                <w:b/>
                <w:sz w:val="20"/>
              </w:rPr>
            </w:pPr>
            <w:r>
              <w:rPr>
                <w:rFonts w:ascii="宋体" w:hAnsi="宋体" w:hint="eastAsia"/>
                <w:b/>
                <w:sz w:val="20"/>
              </w:rPr>
              <w:t>科研系统及模块</w:t>
            </w:r>
          </w:p>
        </w:tc>
        <w:tc>
          <w:tcPr>
            <w:tcW w:w="5812" w:type="dxa"/>
            <w:shd w:val="clear" w:color="000000" w:fill="C0C0C0"/>
            <w:vAlign w:val="center"/>
          </w:tcPr>
          <w:p w:rsidR="00C5088B" w:rsidRDefault="00B07E41">
            <w:pPr>
              <w:jc w:val="center"/>
              <w:rPr>
                <w:rFonts w:ascii="宋体" w:hAnsi="宋体"/>
                <w:b/>
                <w:sz w:val="20"/>
              </w:rPr>
            </w:pPr>
            <w:r>
              <w:rPr>
                <w:rFonts w:ascii="宋体" w:hAnsi="宋体" w:hint="eastAsia"/>
                <w:b/>
                <w:sz w:val="20"/>
              </w:rPr>
              <w:t>科研设施细节描述</w:t>
            </w:r>
          </w:p>
        </w:tc>
      </w:tr>
      <w:tr w:rsidR="00C5088B" w:rsidTr="00AC658E">
        <w:trPr>
          <w:trHeight w:val="565"/>
        </w:trPr>
        <w:tc>
          <w:tcPr>
            <w:tcW w:w="1276" w:type="dxa"/>
            <w:vMerge w:val="restart"/>
            <w:shd w:val="clear" w:color="auto" w:fill="auto"/>
            <w:vAlign w:val="center"/>
          </w:tcPr>
          <w:p w:rsidR="00C5088B" w:rsidRDefault="00B07E41">
            <w:pPr>
              <w:jc w:val="center"/>
              <w:rPr>
                <w:rFonts w:ascii="宋体" w:hAnsi="宋体"/>
                <w:b/>
                <w:sz w:val="20"/>
              </w:rPr>
            </w:pPr>
            <w:r>
              <w:rPr>
                <w:rFonts w:ascii="宋体" w:hAnsi="宋体" w:hint="eastAsia"/>
                <w:b/>
                <w:sz w:val="20"/>
              </w:rPr>
              <w:t>大数据平台核心系统</w:t>
            </w: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大数据实验科研系统</w:t>
            </w:r>
          </w:p>
        </w:tc>
        <w:tc>
          <w:tcPr>
            <w:tcW w:w="5812" w:type="dxa"/>
            <w:vMerge w:val="restart"/>
            <w:shd w:val="clear" w:color="auto" w:fill="auto"/>
            <w:vAlign w:val="center"/>
          </w:tcPr>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提供可支撑PaaS，SaaS云的IaaS级云平台</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提供大数据云的管理系统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提供可自由调控的网络规模和节点配置的各类大数据平台</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提供大数据的教学管理图形界面和实验科研web界面</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实验操作环境提供B/S和C/S两种模式</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提供大数据环境无人值守批量复用部署</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提供Aneka云的开发环境和开发套件</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提供包含Hive，Hbase，zookeeper，sqoop，Pig等大数据组件</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提供Spark开发环境和标准开发框架，集成主流Spark接口</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提供hadoop实验科研系统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lastRenderedPageBreak/>
              <w:t>提供Aneka大数据运算智能云系统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提供大数据数据获取系统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提供大数据数据处理系统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提供大数据数据挖掘与统计分析系统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提供大数据可视化系统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提供大数据预测与人工智能系统</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提供10个以上不同行业代表性数据</w:t>
            </w:r>
          </w:p>
          <w:p w:rsidR="00C5088B" w:rsidRDefault="00B07E41">
            <w:pPr>
              <w:pStyle w:val="a9"/>
              <w:numPr>
                <w:ilvl w:val="0"/>
                <w:numId w:val="3"/>
              </w:numPr>
              <w:spacing w:line="300" w:lineRule="exact"/>
              <w:jc w:val="left"/>
              <w:rPr>
                <w:rFonts w:ascii="宋体" w:hAnsi="宋体" w:cs="Arial"/>
                <w:sz w:val="20"/>
                <w:szCs w:val="20"/>
              </w:rPr>
            </w:pPr>
            <w:r>
              <w:rPr>
                <w:rFonts w:ascii="宋体" w:hAnsi="宋体" w:cs="Arial" w:hint="eastAsia"/>
                <w:sz w:val="20"/>
                <w:szCs w:val="20"/>
              </w:rPr>
              <w:t>提供高并发访问、查询和分析等不同应用场景大数据处理的能力</w:t>
            </w:r>
          </w:p>
          <w:p w:rsidR="00C5088B" w:rsidRDefault="00B07E41">
            <w:pPr>
              <w:pStyle w:val="a9"/>
              <w:numPr>
                <w:ilvl w:val="0"/>
                <w:numId w:val="3"/>
              </w:numPr>
              <w:spacing w:line="300" w:lineRule="exact"/>
              <w:jc w:val="left"/>
              <w:rPr>
                <w:rFonts w:ascii="宋体" w:hAnsi="宋体"/>
                <w:sz w:val="20"/>
                <w:szCs w:val="20"/>
              </w:rPr>
            </w:pPr>
            <w:r>
              <w:rPr>
                <w:rFonts w:ascii="宋体" w:hAnsi="宋体" w:hint="eastAsia"/>
                <w:sz w:val="20"/>
                <w:szCs w:val="20"/>
              </w:rPr>
              <w:t>支持以上系统运行的服务器、网络设备及辅助设施</w:t>
            </w:r>
          </w:p>
          <w:p w:rsidR="00C5088B" w:rsidRDefault="00B07E41">
            <w:pPr>
              <w:pStyle w:val="a9"/>
              <w:numPr>
                <w:ilvl w:val="0"/>
                <w:numId w:val="3"/>
              </w:numPr>
              <w:spacing w:line="300" w:lineRule="exact"/>
              <w:jc w:val="left"/>
              <w:rPr>
                <w:rFonts w:ascii="宋体" w:hAnsi="宋体"/>
                <w:sz w:val="20"/>
                <w:szCs w:val="20"/>
              </w:rPr>
            </w:pPr>
            <w:r>
              <w:rPr>
                <w:rFonts w:ascii="宋体" w:hAnsi="宋体" w:hint="eastAsia"/>
                <w:sz w:val="20"/>
                <w:szCs w:val="20"/>
              </w:rPr>
              <w:t>课件必须提供在线pdf阅读，支持HTML5课程课件内容制作，至少可支持5G的视频文件播放</w:t>
            </w:r>
          </w:p>
        </w:tc>
      </w:tr>
      <w:tr w:rsidR="00C5088B" w:rsidTr="00AC658E">
        <w:trPr>
          <w:trHeight w:val="565"/>
        </w:trPr>
        <w:tc>
          <w:tcPr>
            <w:tcW w:w="1276" w:type="dxa"/>
            <w:vMerge/>
            <w:shd w:val="clear" w:color="auto" w:fill="auto"/>
            <w:vAlign w:val="center"/>
          </w:tcPr>
          <w:p w:rsidR="00C5088B" w:rsidRDefault="00C5088B">
            <w:pPr>
              <w:spacing w:line="320" w:lineRule="exact"/>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大数据实验科研管理系统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大数据教学管理系统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数据获取应用系统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分布式大数据系统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数据预处理综合应用系统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大规模数据实时计算系统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分布式数据存储系统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数据挖掘统计综合计算系统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资源协同调度管理系统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人工智能数据预测系统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565"/>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大规模数据加载系统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436"/>
        </w:trPr>
        <w:tc>
          <w:tcPr>
            <w:tcW w:w="1276" w:type="dxa"/>
            <w:vMerge/>
            <w:shd w:val="clear" w:color="auto" w:fill="auto"/>
            <w:vAlign w:val="center"/>
          </w:tcPr>
          <w:p w:rsidR="00C5088B" w:rsidRDefault="00C5088B">
            <w:pPr>
              <w:spacing w:line="320" w:lineRule="exact"/>
              <w:rPr>
                <w:rFonts w:ascii="宋体" w:hAnsi="宋体"/>
                <w:b/>
                <w:sz w:val="20"/>
              </w:rPr>
            </w:pPr>
          </w:p>
        </w:tc>
        <w:tc>
          <w:tcPr>
            <w:tcW w:w="2693" w:type="dxa"/>
            <w:shd w:val="clear" w:color="auto" w:fill="auto"/>
            <w:vAlign w:val="center"/>
          </w:tcPr>
          <w:p w:rsidR="00C5088B" w:rsidRDefault="00B07E41">
            <w:pPr>
              <w:spacing w:line="320" w:lineRule="exact"/>
              <w:rPr>
                <w:rFonts w:ascii="宋体" w:hAnsi="宋体"/>
                <w:bCs/>
                <w:sz w:val="20"/>
              </w:rPr>
            </w:pPr>
            <w:r>
              <w:rPr>
                <w:rFonts w:ascii="宋体" w:hAnsi="宋体" w:hint="eastAsia"/>
                <w:bCs/>
                <w:sz w:val="20"/>
              </w:rPr>
              <w:t>Aneka智能云系统</w:t>
            </w:r>
          </w:p>
        </w:tc>
        <w:tc>
          <w:tcPr>
            <w:tcW w:w="5812" w:type="dxa"/>
            <w:vMerge/>
            <w:shd w:val="clear" w:color="auto" w:fill="auto"/>
            <w:vAlign w:val="center"/>
          </w:tcPr>
          <w:p w:rsidR="00C5088B" w:rsidRDefault="00C5088B">
            <w:pPr>
              <w:spacing w:line="320" w:lineRule="exact"/>
              <w:rPr>
                <w:rFonts w:ascii="宋体" w:hAnsi="宋体"/>
                <w:b/>
                <w:sz w:val="20"/>
              </w:rPr>
            </w:pPr>
          </w:p>
        </w:tc>
      </w:tr>
      <w:tr w:rsidR="00C5088B" w:rsidTr="00AC658E">
        <w:trPr>
          <w:trHeight w:val="794"/>
        </w:trPr>
        <w:tc>
          <w:tcPr>
            <w:tcW w:w="1276" w:type="dxa"/>
            <w:vMerge w:val="restart"/>
            <w:shd w:val="clear" w:color="auto" w:fill="auto"/>
            <w:vAlign w:val="center"/>
          </w:tcPr>
          <w:p w:rsidR="00C5088B" w:rsidRDefault="00B07E41">
            <w:pPr>
              <w:jc w:val="center"/>
              <w:rPr>
                <w:rFonts w:ascii="宋体" w:hAnsi="宋体"/>
                <w:b/>
                <w:sz w:val="20"/>
              </w:rPr>
            </w:pPr>
            <w:r>
              <w:rPr>
                <w:rFonts w:hint="eastAsia"/>
                <w:b/>
                <w:sz w:val="20"/>
              </w:rPr>
              <w:t>网络空间安全及物联网安全核心系统</w:t>
            </w:r>
          </w:p>
        </w:tc>
        <w:tc>
          <w:tcPr>
            <w:tcW w:w="2693" w:type="dxa"/>
            <w:shd w:val="clear" w:color="auto" w:fill="auto"/>
            <w:vAlign w:val="center"/>
          </w:tcPr>
          <w:p w:rsidR="00C5088B" w:rsidRDefault="00B07E41">
            <w:pPr>
              <w:rPr>
                <w:rFonts w:ascii="宋体" w:hAnsi="宋体"/>
                <w:sz w:val="20"/>
              </w:rPr>
            </w:pPr>
            <w:r>
              <w:rPr>
                <w:rFonts w:ascii="宋体" w:hAnsi="宋体" w:hint="eastAsia"/>
                <w:sz w:val="20"/>
              </w:rPr>
              <w:t>网络空间安全教学管理系统</w:t>
            </w:r>
          </w:p>
        </w:tc>
        <w:tc>
          <w:tcPr>
            <w:tcW w:w="5812" w:type="dxa"/>
            <w:vMerge w:val="restart"/>
            <w:shd w:val="clear" w:color="auto" w:fill="auto"/>
            <w:vAlign w:val="center"/>
          </w:tcPr>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提供网络空间安全实验教学管理平台</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提供网络空间安全实验科研环境管理平台</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提供网络空间安全资源分配，调度，监控管理平台</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提供网络空间安全靶场模拟设置</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提供网络空间安全四层虚拟网络模拟系统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提供NETEP高级可编程网络系统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提供网络空间安全攻防管理平台</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提供网络空间安全基础教学实验系统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 xml:space="preserve"> 提供网络空间安全密码学教学实验系统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提供网络空间安全网络安全教学实验系统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提供网络空间安全内容安全教学实验系统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提供网络空间安全电子取证教学实验系统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提供网络空间安全无线安全教学实验系统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提供网络空间安全CTF教学实验系统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提供人工智能网络空间安全比赛系统</w:t>
            </w:r>
          </w:p>
          <w:p w:rsidR="00C5088B" w:rsidRDefault="00B07E41" w:rsidP="00AC658E">
            <w:pPr>
              <w:numPr>
                <w:ilvl w:val="0"/>
                <w:numId w:val="4"/>
              </w:numPr>
              <w:spacing w:line="280" w:lineRule="exact"/>
              <w:jc w:val="left"/>
              <w:rPr>
                <w:rFonts w:asciiTheme="minorEastAsia" w:hAnsiTheme="minorEastAsia"/>
                <w:sz w:val="20"/>
              </w:rPr>
            </w:pPr>
            <w:r>
              <w:rPr>
                <w:rFonts w:asciiTheme="minorEastAsia" w:hAnsiTheme="minorEastAsia" w:hint="eastAsia"/>
                <w:sz w:val="20"/>
              </w:rPr>
              <w:t>课件必须提供在线pdf阅读，支持HTML5课程课件内容制作，至少可支持5G的视频文件播放</w:t>
            </w:r>
          </w:p>
        </w:tc>
      </w:tr>
      <w:tr w:rsidR="00C5088B" w:rsidTr="00AC658E">
        <w:trPr>
          <w:trHeight w:val="794"/>
        </w:trPr>
        <w:tc>
          <w:tcPr>
            <w:tcW w:w="1276" w:type="dxa"/>
            <w:vMerge/>
            <w:shd w:val="clear" w:color="auto" w:fill="auto"/>
            <w:vAlign w:val="center"/>
          </w:tcPr>
          <w:p w:rsidR="00C5088B" w:rsidRDefault="00C5088B"/>
        </w:tc>
        <w:tc>
          <w:tcPr>
            <w:tcW w:w="2693" w:type="dxa"/>
            <w:shd w:val="clear" w:color="auto" w:fill="auto"/>
            <w:vAlign w:val="center"/>
          </w:tcPr>
          <w:p w:rsidR="00C5088B" w:rsidRDefault="00B07E41">
            <w:pPr>
              <w:rPr>
                <w:rFonts w:ascii="宋体" w:hAnsi="宋体"/>
                <w:sz w:val="20"/>
              </w:rPr>
            </w:pPr>
            <w:r>
              <w:rPr>
                <w:rFonts w:ascii="宋体" w:hAnsi="宋体" w:hint="eastAsia"/>
                <w:sz w:val="20"/>
              </w:rPr>
              <w:t>网络空间安全实验科研系统</w:t>
            </w:r>
          </w:p>
        </w:tc>
        <w:tc>
          <w:tcPr>
            <w:tcW w:w="5812" w:type="dxa"/>
            <w:vMerge/>
            <w:shd w:val="clear" w:color="auto" w:fill="auto"/>
            <w:vAlign w:val="center"/>
          </w:tcPr>
          <w:p w:rsidR="00C5088B" w:rsidRDefault="00C5088B">
            <w:pPr>
              <w:rPr>
                <w:rFonts w:ascii="宋体" w:hAnsi="宋体"/>
                <w:sz w:val="20"/>
              </w:rPr>
            </w:pPr>
          </w:p>
        </w:tc>
      </w:tr>
      <w:tr w:rsidR="00C5088B" w:rsidTr="00AC658E">
        <w:trPr>
          <w:trHeight w:val="794"/>
        </w:trPr>
        <w:tc>
          <w:tcPr>
            <w:tcW w:w="1276" w:type="dxa"/>
            <w:vMerge/>
            <w:shd w:val="clear" w:color="auto" w:fill="auto"/>
            <w:vAlign w:val="center"/>
          </w:tcPr>
          <w:p w:rsidR="00C5088B" w:rsidRDefault="00C5088B">
            <w:pPr>
              <w:rPr>
                <w:rFonts w:ascii="宋体" w:hAnsi="宋体"/>
                <w:sz w:val="20"/>
              </w:rPr>
            </w:pPr>
          </w:p>
        </w:tc>
        <w:tc>
          <w:tcPr>
            <w:tcW w:w="2693" w:type="dxa"/>
            <w:shd w:val="clear" w:color="auto" w:fill="auto"/>
            <w:vAlign w:val="center"/>
          </w:tcPr>
          <w:p w:rsidR="00C5088B" w:rsidRDefault="00B07E41">
            <w:pPr>
              <w:rPr>
                <w:rFonts w:ascii="宋体" w:hAnsi="宋体"/>
                <w:sz w:val="20"/>
              </w:rPr>
            </w:pPr>
            <w:r>
              <w:rPr>
                <w:rFonts w:ascii="宋体" w:hAnsi="宋体" w:hint="eastAsia"/>
                <w:sz w:val="20"/>
              </w:rPr>
              <w:t>网络空间安全场景仿真模块</w:t>
            </w:r>
          </w:p>
        </w:tc>
        <w:tc>
          <w:tcPr>
            <w:tcW w:w="5812" w:type="dxa"/>
            <w:vMerge/>
            <w:shd w:val="clear" w:color="auto" w:fill="auto"/>
            <w:vAlign w:val="center"/>
          </w:tcPr>
          <w:p w:rsidR="00C5088B" w:rsidRDefault="00C5088B">
            <w:pPr>
              <w:rPr>
                <w:rFonts w:ascii="宋体" w:hAnsi="宋体"/>
                <w:sz w:val="20"/>
              </w:rPr>
            </w:pPr>
          </w:p>
        </w:tc>
      </w:tr>
      <w:tr w:rsidR="00C5088B" w:rsidTr="00AC658E">
        <w:trPr>
          <w:trHeight w:val="794"/>
        </w:trPr>
        <w:tc>
          <w:tcPr>
            <w:tcW w:w="1276" w:type="dxa"/>
            <w:vMerge/>
            <w:shd w:val="clear" w:color="auto" w:fill="auto"/>
            <w:vAlign w:val="center"/>
          </w:tcPr>
          <w:p w:rsidR="00C5088B" w:rsidRDefault="00C5088B">
            <w:pPr>
              <w:rPr>
                <w:rFonts w:ascii="宋体" w:hAnsi="宋体"/>
                <w:sz w:val="20"/>
              </w:rPr>
            </w:pPr>
          </w:p>
        </w:tc>
        <w:tc>
          <w:tcPr>
            <w:tcW w:w="2693" w:type="dxa"/>
            <w:shd w:val="clear" w:color="auto" w:fill="auto"/>
            <w:vAlign w:val="center"/>
          </w:tcPr>
          <w:p w:rsidR="00C5088B" w:rsidRDefault="00B07E41">
            <w:pPr>
              <w:rPr>
                <w:rFonts w:ascii="宋体" w:hAnsi="宋体"/>
                <w:sz w:val="20"/>
              </w:rPr>
            </w:pPr>
            <w:r>
              <w:rPr>
                <w:rFonts w:ascii="宋体" w:hAnsi="宋体" w:hint="eastAsia"/>
                <w:sz w:val="20"/>
              </w:rPr>
              <w:t>虚拟仿真网络系统</w:t>
            </w:r>
          </w:p>
        </w:tc>
        <w:tc>
          <w:tcPr>
            <w:tcW w:w="5812" w:type="dxa"/>
            <w:vMerge/>
            <w:shd w:val="clear" w:color="auto" w:fill="auto"/>
            <w:vAlign w:val="center"/>
          </w:tcPr>
          <w:p w:rsidR="00C5088B" w:rsidRDefault="00C5088B">
            <w:pPr>
              <w:rPr>
                <w:rFonts w:ascii="宋体" w:hAnsi="宋体"/>
                <w:sz w:val="20"/>
              </w:rPr>
            </w:pPr>
          </w:p>
        </w:tc>
      </w:tr>
      <w:tr w:rsidR="00C5088B" w:rsidTr="00AC658E">
        <w:trPr>
          <w:trHeight w:val="794"/>
        </w:trPr>
        <w:tc>
          <w:tcPr>
            <w:tcW w:w="1276" w:type="dxa"/>
            <w:vMerge/>
            <w:shd w:val="clear" w:color="auto" w:fill="auto"/>
            <w:vAlign w:val="center"/>
          </w:tcPr>
          <w:p w:rsidR="00C5088B" w:rsidRDefault="00C5088B">
            <w:pPr>
              <w:rPr>
                <w:rFonts w:ascii="宋体" w:hAnsi="宋体"/>
                <w:sz w:val="20"/>
              </w:rPr>
            </w:pPr>
          </w:p>
        </w:tc>
        <w:tc>
          <w:tcPr>
            <w:tcW w:w="2693" w:type="dxa"/>
            <w:shd w:val="clear" w:color="auto" w:fill="auto"/>
            <w:vAlign w:val="center"/>
          </w:tcPr>
          <w:p w:rsidR="00C5088B" w:rsidRDefault="00B07E41">
            <w:pPr>
              <w:rPr>
                <w:rFonts w:ascii="宋体" w:hAnsi="宋体"/>
                <w:sz w:val="20"/>
              </w:rPr>
            </w:pPr>
            <w:r>
              <w:rPr>
                <w:rFonts w:ascii="宋体" w:hAnsi="宋体" w:hint="eastAsia"/>
                <w:sz w:val="20"/>
              </w:rPr>
              <w:t>网络空间安全攻防系统</w:t>
            </w:r>
          </w:p>
        </w:tc>
        <w:tc>
          <w:tcPr>
            <w:tcW w:w="5812" w:type="dxa"/>
            <w:vMerge/>
            <w:shd w:val="clear" w:color="auto" w:fill="auto"/>
            <w:vAlign w:val="center"/>
          </w:tcPr>
          <w:p w:rsidR="00C5088B" w:rsidRDefault="00C5088B">
            <w:pPr>
              <w:rPr>
                <w:rFonts w:ascii="宋体" w:hAnsi="宋体"/>
                <w:sz w:val="20"/>
              </w:rPr>
            </w:pPr>
          </w:p>
        </w:tc>
      </w:tr>
      <w:tr w:rsidR="00C5088B" w:rsidTr="00AC658E">
        <w:trPr>
          <w:trHeight w:val="794"/>
        </w:trPr>
        <w:tc>
          <w:tcPr>
            <w:tcW w:w="1276" w:type="dxa"/>
            <w:vMerge/>
            <w:shd w:val="clear" w:color="auto" w:fill="auto"/>
            <w:vAlign w:val="center"/>
          </w:tcPr>
          <w:p w:rsidR="00C5088B" w:rsidRDefault="00C5088B">
            <w:pPr>
              <w:rPr>
                <w:rFonts w:ascii="宋体" w:hAnsi="宋体"/>
                <w:sz w:val="20"/>
              </w:rPr>
            </w:pPr>
          </w:p>
        </w:tc>
        <w:tc>
          <w:tcPr>
            <w:tcW w:w="2693" w:type="dxa"/>
            <w:shd w:val="clear" w:color="auto" w:fill="auto"/>
            <w:vAlign w:val="center"/>
          </w:tcPr>
          <w:p w:rsidR="00C5088B" w:rsidRDefault="00B07E41">
            <w:pPr>
              <w:rPr>
                <w:rFonts w:ascii="宋体" w:hAnsi="宋体"/>
                <w:sz w:val="20"/>
              </w:rPr>
            </w:pPr>
            <w:r>
              <w:rPr>
                <w:rFonts w:ascii="宋体" w:hAnsi="宋体" w:hint="eastAsia"/>
                <w:sz w:val="20"/>
              </w:rPr>
              <w:t>网络空间安全教学模块</w:t>
            </w:r>
          </w:p>
        </w:tc>
        <w:tc>
          <w:tcPr>
            <w:tcW w:w="5812" w:type="dxa"/>
            <w:vMerge/>
            <w:shd w:val="clear" w:color="auto" w:fill="auto"/>
            <w:vAlign w:val="center"/>
          </w:tcPr>
          <w:p w:rsidR="00C5088B" w:rsidRDefault="00C5088B">
            <w:pPr>
              <w:rPr>
                <w:rFonts w:ascii="宋体" w:hAnsi="宋体"/>
                <w:sz w:val="20"/>
              </w:rPr>
            </w:pPr>
          </w:p>
        </w:tc>
      </w:tr>
      <w:tr w:rsidR="00C5088B" w:rsidTr="00AC658E">
        <w:trPr>
          <w:trHeight w:val="1021"/>
        </w:trPr>
        <w:tc>
          <w:tcPr>
            <w:tcW w:w="1276" w:type="dxa"/>
            <w:vMerge w:val="restart"/>
            <w:shd w:val="clear" w:color="auto" w:fill="auto"/>
            <w:vAlign w:val="center"/>
          </w:tcPr>
          <w:p w:rsidR="00C5088B" w:rsidRDefault="00B07E41">
            <w:pPr>
              <w:jc w:val="center"/>
              <w:rPr>
                <w:rFonts w:ascii="宋体" w:hAnsi="宋体"/>
                <w:b/>
                <w:sz w:val="20"/>
              </w:rPr>
            </w:pPr>
            <w:r>
              <w:rPr>
                <w:rFonts w:ascii="宋体" w:hAnsi="宋体"/>
                <w:b/>
                <w:sz w:val="20"/>
              </w:rPr>
              <w:t>人工智能平台核心系统</w:t>
            </w:r>
          </w:p>
          <w:p w:rsidR="00C5088B" w:rsidRDefault="00B07E41">
            <w:pPr>
              <w:jc w:val="center"/>
              <w:rPr>
                <w:sz w:val="20"/>
              </w:rPr>
            </w:pPr>
            <w:r>
              <w:rPr>
                <w:rFonts w:ascii="宋体" w:hAnsi="宋体" w:hint="eastAsia"/>
                <w:b/>
                <w:sz w:val="20"/>
              </w:rPr>
              <w:t>(仅和人工智能选题方向相关)</w:t>
            </w:r>
          </w:p>
        </w:tc>
        <w:tc>
          <w:tcPr>
            <w:tcW w:w="2693" w:type="dxa"/>
            <w:shd w:val="clear" w:color="auto" w:fill="auto"/>
            <w:vAlign w:val="center"/>
          </w:tcPr>
          <w:p w:rsidR="00C5088B" w:rsidRDefault="00B07E41">
            <w:pPr>
              <w:rPr>
                <w:sz w:val="20"/>
              </w:rPr>
            </w:pPr>
            <w:r>
              <w:rPr>
                <w:rFonts w:hint="eastAsia"/>
                <w:sz w:val="20"/>
              </w:rPr>
              <w:t>数据预处理及训练计算平台</w:t>
            </w:r>
          </w:p>
        </w:tc>
        <w:tc>
          <w:tcPr>
            <w:tcW w:w="5812" w:type="dxa"/>
            <w:vMerge w:val="restart"/>
            <w:shd w:val="clear" w:color="auto" w:fill="auto"/>
            <w:vAlign w:val="center"/>
          </w:tcPr>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计算架构，采用CPU计算模式</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存储架构，对于实验科研平台，主要采用分布式存储</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网络架构，主要采用虚拟网络的节点互通，理论带宽最高可达10GB</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提供基于可批量部署的Spark框架的机器学习框架</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提供基于可批量部署的tensorflow计算框架</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提供基于可批量部署的深度学习计算框架</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提供人工智能计算资源管理、调度、监控平台</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提供人工智能标准算法接口</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提供人工智能训练模型和训练数据集</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提供人工智能相关研究成果及产品（非实验室产品）</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支持以上系统运行的服务器、GPU（可选）、网络设备及辅助设施</w:t>
            </w:r>
          </w:p>
          <w:p w:rsidR="00C5088B" w:rsidRDefault="00B07E41">
            <w:pPr>
              <w:pStyle w:val="a9"/>
              <w:numPr>
                <w:ilvl w:val="0"/>
                <w:numId w:val="5"/>
              </w:numPr>
              <w:spacing w:line="300" w:lineRule="exact"/>
              <w:jc w:val="left"/>
              <w:rPr>
                <w:rFonts w:asciiTheme="minorEastAsia" w:hAnsiTheme="minorEastAsia"/>
                <w:sz w:val="20"/>
              </w:rPr>
            </w:pPr>
            <w:r>
              <w:rPr>
                <w:rFonts w:asciiTheme="minorEastAsia" w:hAnsiTheme="minorEastAsia" w:hint="eastAsia"/>
                <w:sz w:val="20"/>
              </w:rPr>
              <w:t>课件必须提供在线pdf阅读，支持HTML5课程课件内容制作，至少可支持5G的视频文件播放</w:t>
            </w:r>
          </w:p>
        </w:tc>
      </w:tr>
      <w:tr w:rsidR="00C5088B" w:rsidTr="00AC658E">
        <w:trPr>
          <w:trHeight w:val="1021"/>
        </w:trPr>
        <w:tc>
          <w:tcPr>
            <w:tcW w:w="1276" w:type="dxa"/>
            <w:vMerge/>
            <w:shd w:val="clear" w:color="auto" w:fill="auto"/>
            <w:vAlign w:val="center"/>
          </w:tcPr>
          <w:p w:rsidR="00C5088B" w:rsidRDefault="00C5088B"/>
        </w:tc>
        <w:tc>
          <w:tcPr>
            <w:tcW w:w="2693" w:type="dxa"/>
            <w:shd w:val="clear" w:color="auto" w:fill="auto"/>
            <w:vAlign w:val="center"/>
          </w:tcPr>
          <w:p w:rsidR="00C5088B" w:rsidRDefault="00B07E41">
            <w:pPr>
              <w:rPr>
                <w:sz w:val="20"/>
              </w:rPr>
            </w:pPr>
            <w:r>
              <w:rPr>
                <w:rFonts w:hint="eastAsia"/>
                <w:sz w:val="20"/>
              </w:rPr>
              <w:t>机器学习处理系统</w:t>
            </w:r>
          </w:p>
        </w:tc>
        <w:tc>
          <w:tcPr>
            <w:tcW w:w="5812" w:type="dxa"/>
            <w:vMerge/>
            <w:shd w:val="clear" w:color="auto" w:fill="auto"/>
            <w:vAlign w:val="center"/>
          </w:tcPr>
          <w:p w:rsidR="00C5088B" w:rsidRDefault="00C5088B">
            <w:pPr>
              <w:rPr>
                <w:sz w:val="20"/>
              </w:rPr>
            </w:pPr>
          </w:p>
        </w:tc>
      </w:tr>
      <w:tr w:rsidR="00C5088B" w:rsidTr="00AC658E">
        <w:trPr>
          <w:trHeight w:val="1021"/>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深度学习计算框架</w:t>
            </w:r>
          </w:p>
        </w:tc>
        <w:tc>
          <w:tcPr>
            <w:tcW w:w="5812" w:type="dxa"/>
            <w:vMerge/>
            <w:shd w:val="clear" w:color="auto" w:fill="auto"/>
            <w:vAlign w:val="center"/>
          </w:tcPr>
          <w:p w:rsidR="00C5088B" w:rsidRDefault="00C5088B">
            <w:pPr>
              <w:rPr>
                <w:sz w:val="20"/>
              </w:rPr>
            </w:pPr>
          </w:p>
        </w:tc>
      </w:tr>
      <w:tr w:rsidR="00C5088B" w:rsidTr="00AC658E">
        <w:trPr>
          <w:trHeight w:val="1021"/>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Tensorflow</w:t>
            </w:r>
            <w:r>
              <w:rPr>
                <w:rFonts w:hint="eastAsia"/>
                <w:sz w:val="20"/>
              </w:rPr>
              <w:t>计算框架</w:t>
            </w:r>
          </w:p>
        </w:tc>
        <w:tc>
          <w:tcPr>
            <w:tcW w:w="5812" w:type="dxa"/>
            <w:vMerge/>
            <w:shd w:val="clear" w:color="auto" w:fill="auto"/>
            <w:vAlign w:val="center"/>
          </w:tcPr>
          <w:p w:rsidR="00C5088B" w:rsidRDefault="00C5088B">
            <w:pPr>
              <w:rPr>
                <w:sz w:val="20"/>
              </w:rPr>
            </w:pPr>
          </w:p>
        </w:tc>
      </w:tr>
      <w:tr w:rsidR="00C5088B" w:rsidTr="00AC658E">
        <w:trPr>
          <w:trHeight w:val="1021"/>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人工智能交叉处理系统</w:t>
            </w:r>
          </w:p>
        </w:tc>
        <w:tc>
          <w:tcPr>
            <w:tcW w:w="5812" w:type="dxa"/>
            <w:vMerge/>
            <w:shd w:val="clear" w:color="auto" w:fill="auto"/>
            <w:vAlign w:val="center"/>
          </w:tcPr>
          <w:p w:rsidR="00C5088B" w:rsidRDefault="00C5088B">
            <w:pPr>
              <w:rPr>
                <w:sz w:val="20"/>
              </w:rPr>
            </w:pPr>
          </w:p>
        </w:tc>
      </w:tr>
      <w:tr w:rsidR="00C5088B" w:rsidTr="00AC658E">
        <w:trPr>
          <w:trHeight w:val="750"/>
        </w:trPr>
        <w:tc>
          <w:tcPr>
            <w:tcW w:w="1276" w:type="dxa"/>
            <w:vMerge w:val="restart"/>
            <w:shd w:val="clear" w:color="auto" w:fill="auto"/>
            <w:vAlign w:val="center"/>
          </w:tcPr>
          <w:p w:rsidR="00C5088B" w:rsidRDefault="00B07E41">
            <w:pPr>
              <w:jc w:val="center"/>
              <w:rPr>
                <w:rFonts w:ascii="宋体" w:hAnsi="宋体"/>
                <w:b/>
                <w:color w:val="000000" w:themeColor="text1"/>
                <w:sz w:val="20"/>
              </w:rPr>
            </w:pPr>
            <w:r>
              <w:rPr>
                <w:rFonts w:hint="eastAsia"/>
                <w:b/>
                <w:color w:val="000000" w:themeColor="text1"/>
                <w:sz w:val="20"/>
              </w:rPr>
              <w:lastRenderedPageBreak/>
              <w:t>大数据医疗，人工智能医疗平台系统（仅和医学领域的课题相关）</w:t>
            </w:r>
          </w:p>
        </w:tc>
        <w:tc>
          <w:tcPr>
            <w:tcW w:w="2693" w:type="dxa"/>
            <w:shd w:val="clear" w:color="auto" w:fill="auto"/>
            <w:vAlign w:val="center"/>
          </w:tcPr>
          <w:p w:rsidR="00C5088B" w:rsidRDefault="00B07E41">
            <w:pPr>
              <w:rPr>
                <w:sz w:val="20"/>
              </w:rPr>
            </w:pPr>
            <w:r>
              <w:rPr>
                <w:rFonts w:hint="eastAsia"/>
                <w:sz w:val="20"/>
              </w:rPr>
              <w:t>大数据实验科研系统</w:t>
            </w:r>
          </w:p>
        </w:tc>
        <w:tc>
          <w:tcPr>
            <w:tcW w:w="5812" w:type="dxa"/>
            <w:vMerge w:val="restart"/>
            <w:shd w:val="clear" w:color="auto" w:fill="auto"/>
            <w:vAlign w:val="center"/>
          </w:tcPr>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计算架构，采用CPU+预留GPU接口混合模式</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存储架构，对于实验科研平台，主要采用分布式存储</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网络架构，主要采用虚拟网络的节点互通，理论带宽最高可达10GB</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提供基于可批量部署的Spark框架的机器学习框架</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提供基于可批量部署的tensorflow计算框架</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提供基于可批量部署的深度学习计算框架</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提供人工智能计算资源管理、调度、监控平台</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提供人工智能标准算法接口</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提供临床实验大数据、人工智能相关研究成果与应用模型</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提供生物信息领域大数据/人工智能相关的研究成果与应用模型</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提供生物医药领域大数据/人工智能的相关研究成果与应用模型</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提供精准医疗的算法模型与应用场景</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提供生物信息，生物医药，临床医学，中医药等医疗相关领域的源数据与应用场景</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提供人工智能精准医疗机器人实体产品</w:t>
            </w:r>
          </w:p>
          <w:p w:rsidR="00C5088B" w:rsidRDefault="00B07E41" w:rsidP="00AC658E">
            <w:pPr>
              <w:numPr>
                <w:ilvl w:val="0"/>
                <w:numId w:val="6"/>
              </w:numPr>
              <w:spacing w:line="280" w:lineRule="exact"/>
              <w:rPr>
                <w:rFonts w:asciiTheme="minorEastAsia" w:hAnsiTheme="minorEastAsia"/>
                <w:sz w:val="20"/>
              </w:rPr>
            </w:pPr>
            <w:r>
              <w:rPr>
                <w:rFonts w:asciiTheme="minorEastAsia" w:hAnsiTheme="minorEastAsia" w:hint="eastAsia"/>
                <w:sz w:val="20"/>
              </w:rPr>
              <w:t>课件必须提供在线pdf阅读，支持HTML5课程课件内容制作，至少可支持5G的视频文件播放</w:t>
            </w:r>
          </w:p>
        </w:tc>
      </w:tr>
      <w:tr w:rsidR="00C5088B" w:rsidTr="00AC658E">
        <w:trPr>
          <w:trHeight w:val="750"/>
        </w:trPr>
        <w:tc>
          <w:tcPr>
            <w:tcW w:w="1276" w:type="dxa"/>
            <w:vMerge/>
            <w:shd w:val="clear" w:color="auto" w:fill="auto"/>
            <w:vAlign w:val="center"/>
          </w:tcPr>
          <w:p w:rsidR="00C5088B" w:rsidRDefault="00C5088B"/>
        </w:tc>
        <w:tc>
          <w:tcPr>
            <w:tcW w:w="2693" w:type="dxa"/>
            <w:shd w:val="clear" w:color="auto" w:fill="auto"/>
            <w:vAlign w:val="center"/>
          </w:tcPr>
          <w:p w:rsidR="00C5088B" w:rsidRDefault="00B07E41">
            <w:pPr>
              <w:rPr>
                <w:sz w:val="20"/>
              </w:rPr>
            </w:pPr>
            <w:r>
              <w:rPr>
                <w:rFonts w:hint="eastAsia"/>
                <w:sz w:val="20"/>
              </w:rPr>
              <w:t>人工智能处理系统</w:t>
            </w:r>
          </w:p>
        </w:tc>
        <w:tc>
          <w:tcPr>
            <w:tcW w:w="5812" w:type="dxa"/>
            <w:vMerge/>
            <w:shd w:val="clear" w:color="auto" w:fill="auto"/>
            <w:vAlign w:val="center"/>
          </w:tcPr>
          <w:p w:rsidR="00C5088B" w:rsidRDefault="00C5088B">
            <w:pPr>
              <w:rPr>
                <w:sz w:val="20"/>
              </w:rPr>
            </w:pPr>
          </w:p>
        </w:tc>
      </w:tr>
      <w:tr w:rsidR="00C5088B" w:rsidTr="00AC658E">
        <w:trPr>
          <w:trHeight w:val="75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人工智能基因比对系统</w:t>
            </w:r>
          </w:p>
        </w:tc>
        <w:tc>
          <w:tcPr>
            <w:tcW w:w="5812" w:type="dxa"/>
            <w:vMerge/>
            <w:shd w:val="clear" w:color="auto" w:fill="auto"/>
            <w:vAlign w:val="center"/>
          </w:tcPr>
          <w:p w:rsidR="00C5088B" w:rsidRDefault="00C5088B">
            <w:pPr>
              <w:rPr>
                <w:sz w:val="20"/>
              </w:rPr>
            </w:pPr>
          </w:p>
        </w:tc>
      </w:tr>
      <w:tr w:rsidR="00C5088B" w:rsidTr="00AC658E">
        <w:trPr>
          <w:trHeight w:val="75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Tensorflow</w:t>
            </w:r>
            <w:r>
              <w:rPr>
                <w:rFonts w:hint="eastAsia"/>
                <w:sz w:val="20"/>
              </w:rPr>
              <w:t>计算框架</w:t>
            </w:r>
          </w:p>
        </w:tc>
        <w:tc>
          <w:tcPr>
            <w:tcW w:w="5812" w:type="dxa"/>
            <w:vMerge/>
            <w:shd w:val="clear" w:color="auto" w:fill="auto"/>
            <w:vAlign w:val="center"/>
          </w:tcPr>
          <w:p w:rsidR="00C5088B" w:rsidRDefault="00C5088B">
            <w:pPr>
              <w:rPr>
                <w:sz w:val="20"/>
              </w:rPr>
            </w:pPr>
          </w:p>
        </w:tc>
      </w:tr>
      <w:tr w:rsidR="00C5088B" w:rsidTr="00AC658E">
        <w:trPr>
          <w:trHeight w:val="75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Spark</w:t>
            </w:r>
            <w:r>
              <w:rPr>
                <w:rFonts w:hint="eastAsia"/>
                <w:sz w:val="20"/>
              </w:rPr>
              <w:t>机器学习计算框架</w:t>
            </w:r>
          </w:p>
        </w:tc>
        <w:tc>
          <w:tcPr>
            <w:tcW w:w="5812" w:type="dxa"/>
            <w:vMerge/>
            <w:shd w:val="clear" w:color="auto" w:fill="auto"/>
            <w:vAlign w:val="center"/>
          </w:tcPr>
          <w:p w:rsidR="00C5088B" w:rsidRDefault="00C5088B">
            <w:pPr>
              <w:rPr>
                <w:sz w:val="20"/>
              </w:rPr>
            </w:pPr>
          </w:p>
        </w:tc>
      </w:tr>
      <w:tr w:rsidR="00C5088B" w:rsidTr="00AC658E">
        <w:trPr>
          <w:trHeight w:val="75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医疗行业相关源数据</w:t>
            </w:r>
          </w:p>
        </w:tc>
        <w:tc>
          <w:tcPr>
            <w:tcW w:w="5812" w:type="dxa"/>
            <w:vMerge/>
            <w:shd w:val="clear" w:color="auto" w:fill="auto"/>
            <w:vAlign w:val="center"/>
          </w:tcPr>
          <w:p w:rsidR="00C5088B" w:rsidRDefault="00C5088B">
            <w:pPr>
              <w:rPr>
                <w:sz w:val="20"/>
              </w:rPr>
            </w:pPr>
          </w:p>
        </w:tc>
      </w:tr>
      <w:tr w:rsidR="00C5088B" w:rsidTr="00AC658E">
        <w:trPr>
          <w:trHeight w:val="680"/>
        </w:trPr>
        <w:tc>
          <w:tcPr>
            <w:tcW w:w="1276" w:type="dxa"/>
            <w:vMerge w:val="restart"/>
            <w:shd w:val="clear" w:color="auto" w:fill="auto"/>
            <w:vAlign w:val="center"/>
          </w:tcPr>
          <w:p w:rsidR="00C5088B" w:rsidRDefault="00B07E41">
            <w:pPr>
              <w:jc w:val="center"/>
              <w:rPr>
                <w:b/>
                <w:sz w:val="20"/>
              </w:rPr>
            </w:pPr>
            <w:r>
              <w:rPr>
                <w:rFonts w:hint="eastAsia"/>
                <w:b/>
                <w:sz w:val="20"/>
              </w:rPr>
              <w:t>区块链核心系统</w:t>
            </w:r>
          </w:p>
        </w:tc>
        <w:tc>
          <w:tcPr>
            <w:tcW w:w="2693" w:type="dxa"/>
            <w:shd w:val="clear" w:color="auto" w:fill="auto"/>
            <w:vAlign w:val="center"/>
          </w:tcPr>
          <w:p w:rsidR="00C5088B" w:rsidRDefault="00B07E41">
            <w:pPr>
              <w:rPr>
                <w:sz w:val="20"/>
              </w:rPr>
            </w:pPr>
            <w:r>
              <w:rPr>
                <w:rFonts w:hint="eastAsia"/>
                <w:sz w:val="20"/>
              </w:rPr>
              <w:t>区块链教学管理系统</w:t>
            </w:r>
          </w:p>
        </w:tc>
        <w:tc>
          <w:tcPr>
            <w:tcW w:w="5812" w:type="dxa"/>
            <w:vMerge w:val="restart"/>
            <w:shd w:val="clear" w:color="auto" w:fill="auto"/>
            <w:vAlign w:val="center"/>
          </w:tcPr>
          <w:p w:rsidR="00C5088B" w:rsidRDefault="00B07E41" w:rsidP="00AC658E">
            <w:pPr>
              <w:numPr>
                <w:ilvl w:val="0"/>
                <w:numId w:val="7"/>
              </w:numPr>
              <w:spacing w:line="280" w:lineRule="exact"/>
              <w:jc w:val="left"/>
              <w:rPr>
                <w:sz w:val="20"/>
              </w:rPr>
            </w:pPr>
            <w:r>
              <w:rPr>
                <w:rFonts w:hint="eastAsia"/>
                <w:sz w:val="20"/>
              </w:rPr>
              <w:t>提供区块链教学管理系统</w:t>
            </w:r>
          </w:p>
          <w:p w:rsidR="00C5088B" w:rsidRDefault="00B07E41" w:rsidP="00AC658E">
            <w:pPr>
              <w:numPr>
                <w:ilvl w:val="0"/>
                <w:numId w:val="7"/>
              </w:numPr>
              <w:spacing w:line="280" w:lineRule="exact"/>
              <w:jc w:val="left"/>
              <w:rPr>
                <w:sz w:val="20"/>
              </w:rPr>
            </w:pPr>
            <w:r>
              <w:rPr>
                <w:rFonts w:hint="eastAsia"/>
                <w:sz w:val="20"/>
              </w:rPr>
              <w:t>提供区块链实验科研环境便利平台</w:t>
            </w:r>
          </w:p>
          <w:p w:rsidR="00C5088B" w:rsidRDefault="00B07E41" w:rsidP="00AC658E">
            <w:pPr>
              <w:numPr>
                <w:ilvl w:val="0"/>
                <w:numId w:val="7"/>
              </w:numPr>
              <w:spacing w:line="280" w:lineRule="exact"/>
              <w:jc w:val="left"/>
              <w:rPr>
                <w:sz w:val="20"/>
              </w:rPr>
            </w:pPr>
            <w:r>
              <w:rPr>
                <w:rFonts w:hint="eastAsia"/>
                <w:sz w:val="20"/>
              </w:rPr>
              <w:t>提供网络空间安全资源分配，调度，监控管理平台</w:t>
            </w:r>
          </w:p>
          <w:p w:rsidR="00C5088B" w:rsidRDefault="00B07E41" w:rsidP="00AC658E">
            <w:pPr>
              <w:numPr>
                <w:ilvl w:val="0"/>
                <w:numId w:val="7"/>
              </w:numPr>
              <w:spacing w:line="280" w:lineRule="exact"/>
              <w:jc w:val="left"/>
              <w:rPr>
                <w:sz w:val="20"/>
              </w:rPr>
            </w:pPr>
            <w:r>
              <w:rPr>
                <w:rFonts w:hint="eastAsia"/>
                <w:sz w:val="20"/>
              </w:rPr>
              <w:t>提供可扩展复用的区块链应用系统</w:t>
            </w:r>
          </w:p>
          <w:p w:rsidR="00C5088B" w:rsidRDefault="00B07E41" w:rsidP="00AC658E">
            <w:pPr>
              <w:numPr>
                <w:ilvl w:val="0"/>
                <w:numId w:val="7"/>
              </w:numPr>
              <w:spacing w:line="280" w:lineRule="exact"/>
              <w:jc w:val="left"/>
              <w:rPr>
                <w:sz w:val="20"/>
              </w:rPr>
            </w:pPr>
            <w:r>
              <w:rPr>
                <w:rFonts w:hint="eastAsia"/>
                <w:sz w:val="20"/>
              </w:rPr>
              <w:t>提供可复用与虚拟化和物理层的区块链计算系统</w:t>
            </w:r>
          </w:p>
          <w:p w:rsidR="00C5088B" w:rsidRDefault="00B07E41" w:rsidP="00AC658E">
            <w:pPr>
              <w:numPr>
                <w:ilvl w:val="0"/>
                <w:numId w:val="7"/>
              </w:numPr>
              <w:spacing w:line="280" w:lineRule="exact"/>
              <w:jc w:val="left"/>
              <w:rPr>
                <w:sz w:val="20"/>
              </w:rPr>
            </w:pPr>
            <w:r>
              <w:rPr>
                <w:rFonts w:hint="eastAsia"/>
                <w:sz w:val="20"/>
              </w:rPr>
              <w:t>提供一种非完全开源技术的区块链系统。</w:t>
            </w:r>
          </w:p>
          <w:p w:rsidR="00C5088B" w:rsidRDefault="00B07E41" w:rsidP="00AC658E">
            <w:pPr>
              <w:numPr>
                <w:ilvl w:val="0"/>
                <w:numId w:val="7"/>
              </w:numPr>
              <w:spacing w:line="280" w:lineRule="exact"/>
              <w:jc w:val="left"/>
              <w:rPr>
                <w:sz w:val="20"/>
              </w:rPr>
            </w:pPr>
            <w:r>
              <w:rPr>
                <w:rFonts w:hint="eastAsia"/>
                <w:sz w:val="20"/>
              </w:rPr>
              <w:t>提供成熟区块链产品的研发成果（独立或合作）</w:t>
            </w:r>
          </w:p>
          <w:p w:rsidR="00C5088B" w:rsidRDefault="00B07E41" w:rsidP="00AC658E">
            <w:pPr>
              <w:numPr>
                <w:ilvl w:val="0"/>
                <w:numId w:val="7"/>
              </w:numPr>
              <w:spacing w:line="280" w:lineRule="exact"/>
              <w:jc w:val="left"/>
              <w:rPr>
                <w:sz w:val="20"/>
              </w:rPr>
            </w:pPr>
            <w:r>
              <w:rPr>
                <w:rFonts w:ascii="宋体" w:hAnsi="宋体" w:hint="eastAsia"/>
                <w:sz w:val="20"/>
              </w:rPr>
              <w:t>课件必须提供在线pdf阅读，支持HTML5课程课件内容制作，至少可支持5G的视频文件播放</w:t>
            </w:r>
          </w:p>
        </w:tc>
      </w:tr>
      <w:tr w:rsidR="00C5088B" w:rsidTr="00AC658E">
        <w:trPr>
          <w:trHeight w:val="680"/>
        </w:trPr>
        <w:tc>
          <w:tcPr>
            <w:tcW w:w="1276" w:type="dxa"/>
            <w:vMerge/>
            <w:shd w:val="clear" w:color="auto" w:fill="auto"/>
            <w:vAlign w:val="center"/>
          </w:tcPr>
          <w:p w:rsidR="00C5088B" w:rsidRDefault="00C5088B"/>
        </w:tc>
        <w:tc>
          <w:tcPr>
            <w:tcW w:w="2693" w:type="dxa"/>
            <w:shd w:val="clear" w:color="auto" w:fill="auto"/>
            <w:vAlign w:val="center"/>
          </w:tcPr>
          <w:p w:rsidR="00C5088B" w:rsidRDefault="00B07E41">
            <w:pPr>
              <w:rPr>
                <w:sz w:val="20"/>
              </w:rPr>
            </w:pPr>
            <w:r>
              <w:rPr>
                <w:rFonts w:hint="eastAsia"/>
                <w:sz w:val="20"/>
              </w:rPr>
              <w:t>区块链实验科研系统</w:t>
            </w:r>
          </w:p>
        </w:tc>
        <w:tc>
          <w:tcPr>
            <w:tcW w:w="5812" w:type="dxa"/>
            <w:vMerge/>
            <w:shd w:val="clear" w:color="auto" w:fill="auto"/>
            <w:vAlign w:val="center"/>
          </w:tcPr>
          <w:p w:rsidR="00C5088B" w:rsidRDefault="00C5088B">
            <w:pPr>
              <w:rPr>
                <w:sz w:val="20"/>
              </w:rPr>
            </w:pPr>
          </w:p>
        </w:tc>
      </w:tr>
      <w:tr w:rsidR="00C5088B" w:rsidTr="00AC658E">
        <w:trPr>
          <w:trHeight w:val="68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区块链计算模块</w:t>
            </w:r>
          </w:p>
        </w:tc>
        <w:tc>
          <w:tcPr>
            <w:tcW w:w="5812" w:type="dxa"/>
            <w:vMerge/>
            <w:shd w:val="clear" w:color="auto" w:fill="auto"/>
            <w:vAlign w:val="center"/>
          </w:tcPr>
          <w:p w:rsidR="00C5088B" w:rsidRDefault="00C5088B">
            <w:pPr>
              <w:rPr>
                <w:sz w:val="20"/>
              </w:rPr>
            </w:pPr>
          </w:p>
        </w:tc>
      </w:tr>
      <w:tr w:rsidR="00C5088B" w:rsidTr="00AC658E">
        <w:trPr>
          <w:trHeight w:val="680"/>
        </w:trPr>
        <w:tc>
          <w:tcPr>
            <w:tcW w:w="1276" w:type="dxa"/>
            <w:vMerge/>
            <w:shd w:val="clear" w:color="auto" w:fill="auto"/>
            <w:vAlign w:val="center"/>
          </w:tcPr>
          <w:p w:rsidR="00C5088B" w:rsidRDefault="00C5088B">
            <w:pPr>
              <w:rPr>
                <w:sz w:val="20"/>
              </w:rPr>
            </w:pPr>
          </w:p>
        </w:tc>
        <w:tc>
          <w:tcPr>
            <w:tcW w:w="2693" w:type="dxa"/>
            <w:shd w:val="clear" w:color="auto" w:fill="auto"/>
            <w:vAlign w:val="center"/>
          </w:tcPr>
          <w:p w:rsidR="00C5088B" w:rsidRDefault="00B07E41">
            <w:pPr>
              <w:rPr>
                <w:sz w:val="20"/>
              </w:rPr>
            </w:pPr>
            <w:r>
              <w:rPr>
                <w:rFonts w:hint="eastAsia"/>
                <w:sz w:val="20"/>
              </w:rPr>
              <w:t>区块链管理系统</w:t>
            </w:r>
          </w:p>
        </w:tc>
        <w:tc>
          <w:tcPr>
            <w:tcW w:w="5812" w:type="dxa"/>
            <w:vMerge/>
            <w:shd w:val="clear" w:color="auto" w:fill="auto"/>
            <w:vAlign w:val="center"/>
          </w:tcPr>
          <w:p w:rsidR="00C5088B" w:rsidRDefault="00C5088B">
            <w:pPr>
              <w:rPr>
                <w:sz w:val="20"/>
              </w:rPr>
            </w:pPr>
          </w:p>
        </w:tc>
      </w:tr>
      <w:tr w:rsidR="00C5088B" w:rsidTr="00AC658E">
        <w:trPr>
          <w:trHeight w:val="958"/>
        </w:trPr>
        <w:tc>
          <w:tcPr>
            <w:tcW w:w="1276" w:type="dxa"/>
            <w:vMerge w:val="restart"/>
            <w:shd w:val="clear" w:color="auto" w:fill="auto"/>
            <w:vAlign w:val="center"/>
          </w:tcPr>
          <w:p w:rsidR="00C5088B" w:rsidRDefault="00B07E41">
            <w:pPr>
              <w:jc w:val="center"/>
              <w:rPr>
                <w:sz w:val="20"/>
              </w:rPr>
            </w:pPr>
            <w:r>
              <w:rPr>
                <w:rFonts w:ascii="宋体" w:hAnsi="宋体" w:hint="eastAsia"/>
                <w:b/>
                <w:sz w:val="20"/>
              </w:rPr>
              <w:t>云计算平台核心系统</w:t>
            </w:r>
          </w:p>
        </w:tc>
        <w:tc>
          <w:tcPr>
            <w:tcW w:w="2693" w:type="dxa"/>
            <w:shd w:val="clear" w:color="auto" w:fill="auto"/>
            <w:vAlign w:val="center"/>
          </w:tcPr>
          <w:p w:rsidR="00C5088B" w:rsidRDefault="00B07E41">
            <w:pPr>
              <w:jc w:val="left"/>
              <w:rPr>
                <w:sz w:val="20"/>
              </w:rPr>
            </w:pPr>
            <w:r>
              <w:rPr>
                <w:rFonts w:hint="eastAsia"/>
                <w:sz w:val="20"/>
              </w:rPr>
              <w:t>云计算基础平台</w:t>
            </w:r>
          </w:p>
        </w:tc>
        <w:tc>
          <w:tcPr>
            <w:tcW w:w="5812" w:type="dxa"/>
            <w:vMerge w:val="restart"/>
            <w:shd w:val="clear" w:color="auto" w:fill="auto"/>
            <w:vAlign w:val="center"/>
          </w:tcPr>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系统基于业界主流的IaaS云开源云计算平台开发</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系统支持IaaS云与PaaS云横向和纵向兼容</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系统支持Aneka智能云的部署与批量应用</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支持服务器集群的在线管理和维护</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支持计算、存储和网络资源的申请、使用、变更、销毁等服务的自助化和自动化</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支持虚拟机的全生命周期管理，包括创建、修改、启动、停止、重启、删除、还原等</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可构建包含多至4094个C类网段的虚拟局域网络，支持不同网段间的互联互通，</w:t>
            </w:r>
            <w:r>
              <w:rPr>
                <w:rFonts w:ascii="宋体" w:hAnsi="宋体"/>
                <w:sz w:val="20"/>
              </w:rPr>
              <w:t>支持虚拟网络管理，支持DHCP、NAT、负载均衡等功能</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可支持Vxlan，openvswitch等多种虚拟网络管理，以及支持四层网络协议双流向的ACL</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可自定义云主机内核的安全策略</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支持云主机USB穿透</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支持以上系统运行的服务器、网络设备及辅助设施</w:t>
            </w:r>
          </w:p>
          <w:p w:rsidR="00C5088B" w:rsidRDefault="00B07E41">
            <w:pPr>
              <w:pStyle w:val="a9"/>
              <w:numPr>
                <w:ilvl w:val="0"/>
                <w:numId w:val="8"/>
              </w:numPr>
              <w:spacing w:line="300" w:lineRule="exact"/>
              <w:jc w:val="left"/>
              <w:rPr>
                <w:rFonts w:ascii="宋体" w:hAnsi="宋体"/>
                <w:sz w:val="20"/>
              </w:rPr>
            </w:pPr>
            <w:r>
              <w:rPr>
                <w:rFonts w:ascii="宋体" w:hAnsi="宋体" w:hint="eastAsia"/>
                <w:sz w:val="20"/>
              </w:rPr>
              <w:t>课件必须提供在线pdf阅读，支持HTML5课程课件内容制作，至少可支持5G的视频文件播放</w:t>
            </w:r>
          </w:p>
        </w:tc>
      </w:tr>
      <w:tr w:rsidR="00C5088B" w:rsidTr="00AC658E">
        <w:trPr>
          <w:trHeight w:val="958"/>
        </w:trPr>
        <w:tc>
          <w:tcPr>
            <w:tcW w:w="1276" w:type="dxa"/>
            <w:vMerge/>
            <w:shd w:val="clear" w:color="auto" w:fill="auto"/>
            <w:vAlign w:val="center"/>
          </w:tcPr>
          <w:p w:rsidR="00C5088B" w:rsidRDefault="00C5088B">
            <w:pPr>
              <w:jc w:val="left"/>
            </w:pPr>
          </w:p>
        </w:tc>
        <w:tc>
          <w:tcPr>
            <w:tcW w:w="2693" w:type="dxa"/>
            <w:shd w:val="clear" w:color="auto" w:fill="auto"/>
            <w:vAlign w:val="center"/>
          </w:tcPr>
          <w:p w:rsidR="00C5088B" w:rsidRDefault="00B07E41">
            <w:pPr>
              <w:jc w:val="left"/>
              <w:rPr>
                <w:sz w:val="20"/>
              </w:rPr>
            </w:pPr>
            <w:r>
              <w:rPr>
                <w:rFonts w:hint="eastAsia"/>
                <w:sz w:val="20"/>
              </w:rPr>
              <w:t>虚拟化管理系统</w:t>
            </w:r>
          </w:p>
        </w:tc>
        <w:tc>
          <w:tcPr>
            <w:tcW w:w="5812" w:type="dxa"/>
            <w:vMerge/>
            <w:shd w:val="clear" w:color="auto" w:fill="auto"/>
            <w:vAlign w:val="center"/>
          </w:tcPr>
          <w:p w:rsidR="00C5088B" w:rsidRDefault="00C5088B">
            <w:pPr>
              <w:jc w:val="left"/>
              <w:rPr>
                <w:sz w:val="20"/>
              </w:rPr>
            </w:pPr>
          </w:p>
        </w:tc>
      </w:tr>
      <w:tr w:rsidR="00C5088B" w:rsidTr="00AC658E">
        <w:trPr>
          <w:trHeight w:val="958"/>
        </w:trPr>
        <w:tc>
          <w:tcPr>
            <w:tcW w:w="1276" w:type="dxa"/>
            <w:vMerge/>
            <w:shd w:val="clear" w:color="auto" w:fill="auto"/>
            <w:vAlign w:val="center"/>
          </w:tcPr>
          <w:p w:rsidR="00C5088B" w:rsidRDefault="00C5088B">
            <w:pPr>
              <w:jc w:val="left"/>
              <w:rPr>
                <w:sz w:val="20"/>
              </w:rPr>
            </w:pPr>
          </w:p>
        </w:tc>
        <w:tc>
          <w:tcPr>
            <w:tcW w:w="2693" w:type="dxa"/>
            <w:shd w:val="clear" w:color="auto" w:fill="auto"/>
            <w:vAlign w:val="center"/>
          </w:tcPr>
          <w:p w:rsidR="00C5088B" w:rsidRDefault="00B07E41">
            <w:pPr>
              <w:jc w:val="left"/>
              <w:rPr>
                <w:sz w:val="20"/>
              </w:rPr>
            </w:pPr>
            <w:r>
              <w:rPr>
                <w:rFonts w:hint="eastAsia"/>
                <w:sz w:val="20"/>
              </w:rPr>
              <w:t>IaaS</w:t>
            </w:r>
            <w:r>
              <w:rPr>
                <w:rFonts w:hint="eastAsia"/>
                <w:sz w:val="20"/>
              </w:rPr>
              <w:t>、</w:t>
            </w:r>
            <w:r>
              <w:rPr>
                <w:rFonts w:hint="eastAsia"/>
                <w:sz w:val="20"/>
              </w:rPr>
              <w:t>SaaS</w:t>
            </w:r>
            <w:r>
              <w:rPr>
                <w:rFonts w:hint="eastAsia"/>
                <w:sz w:val="20"/>
              </w:rPr>
              <w:t>、</w:t>
            </w:r>
            <w:r>
              <w:rPr>
                <w:rFonts w:hint="eastAsia"/>
                <w:sz w:val="20"/>
              </w:rPr>
              <w:t>PaaS</w:t>
            </w:r>
            <w:r>
              <w:rPr>
                <w:rFonts w:hint="eastAsia"/>
                <w:sz w:val="20"/>
              </w:rPr>
              <w:t>云</w:t>
            </w:r>
          </w:p>
        </w:tc>
        <w:tc>
          <w:tcPr>
            <w:tcW w:w="5812" w:type="dxa"/>
            <w:vMerge/>
            <w:shd w:val="clear" w:color="auto" w:fill="auto"/>
            <w:vAlign w:val="center"/>
          </w:tcPr>
          <w:p w:rsidR="00C5088B" w:rsidRDefault="00C5088B">
            <w:pPr>
              <w:jc w:val="left"/>
              <w:rPr>
                <w:sz w:val="20"/>
              </w:rPr>
            </w:pPr>
          </w:p>
        </w:tc>
      </w:tr>
      <w:tr w:rsidR="00C5088B" w:rsidTr="00AC658E">
        <w:trPr>
          <w:trHeight w:val="958"/>
        </w:trPr>
        <w:tc>
          <w:tcPr>
            <w:tcW w:w="1276" w:type="dxa"/>
            <w:vMerge/>
            <w:shd w:val="clear" w:color="auto" w:fill="auto"/>
            <w:vAlign w:val="center"/>
          </w:tcPr>
          <w:p w:rsidR="00C5088B" w:rsidRDefault="00C5088B">
            <w:pPr>
              <w:jc w:val="left"/>
              <w:rPr>
                <w:sz w:val="20"/>
              </w:rPr>
            </w:pPr>
          </w:p>
        </w:tc>
        <w:tc>
          <w:tcPr>
            <w:tcW w:w="2693" w:type="dxa"/>
            <w:shd w:val="clear" w:color="auto" w:fill="auto"/>
            <w:vAlign w:val="center"/>
          </w:tcPr>
          <w:p w:rsidR="00C5088B" w:rsidRDefault="00B07E41">
            <w:pPr>
              <w:jc w:val="left"/>
              <w:rPr>
                <w:sz w:val="20"/>
              </w:rPr>
            </w:pPr>
            <w:r>
              <w:rPr>
                <w:rFonts w:hint="eastAsia"/>
                <w:sz w:val="20"/>
              </w:rPr>
              <w:t>基于云系统开发的独立科研应用系统</w:t>
            </w:r>
          </w:p>
        </w:tc>
        <w:tc>
          <w:tcPr>
            <w:tcW w:w="5812" w:type="dxa"/>
            <w:vMerge/>
            <w:shd w:val="clear" w:color="auto" w:fill="auto"/>
            <w:vAlign w:val="center"/>
          </w:tcPr>
          <w:p w:rsidR="00C5088B" w:rsidRDefault="00C5088B">
            <w:pPr>
              <w:jc w:val="left"/>
              <w:rPr>
                <w:sz w:val="20"/>
              </w:rPr>
            </w:pPr>
          </w:p>
        </w:tc>
      </w:tr>
      <w:tr w:rsidR="00C5088B" w:rsidTr="00AC658E">
        <w:tc>
          <w:tcPr>
            <w:tcW w:w="1276" w:type="dxa"/>
            <w:vMerge/>
            <w:shd w:val="clear" w:color="auto" w:fill="auto"/>
            <w:vAlign w:val="center"/>
          </w:tcPr>
          <w:p w:rsidR="00C5088B" w:rsidRDefault="00C5088B">
            <w:pPr>
              <w:jc w:val="left"/>
              <w:rPr>
                <w:sz w:val="20"/>
              </w:rPr>
            </w:pPr>
          </w:p>
        </w:tc>
        <w:tc>
          <w:tcPr>
            <w:tcW w:w="2693" w:type="dxa"/>
            <w:shd w:val="clear" w:color="auto" w:fill="auto"/>
            <w:vAlign w:val="center"/>
          </w:tcPr>
          <w:p w:rsidR="00C5088B" w:rsidRDefault="00B07E41">
            <w:pPr>
              <w:jc w:val="left"/>
              <w:rPr>
                <w:sz w:val="20"/>
              </w:rPr>
            </w:pPr>
            <w:r>
              <w:rPr>
                <w:rFonts w:hint="eastAsia"/>
                <w:sz w:val="20"/>
              </w:rPr>
              <w:t>云存储</w:t>
            </w:r>
          </w:p>
        </w:tc>
        <w:tc>
          <w:tcPr>
            <w:tcW w:w="5812" w:type="dxa"/>
            <w:vMerge/>
            <w:shd w:val="clear" w:color="auto" w:fill="auto"/>
            <w:vAlign w:val="center"/>
          </w:tcPr>
          <w:p w:rsidR="00C5088B" w:rsidRDefault="00C5088B">
            <w:pPr>
              <w:jc w:val="left"/>
              <w:rPr>
                <w:sz w:val="20"/>
              </w:rPr>
            </w:pPr>
          </w:p>
        </w:tc>
      </w:tr>
    </w:tbl>
    <w:p w:rsidR="00B420DB" w:rsidRDefault="00B07E41" w:rsidP="00C703C7">
      <w:pPr>
        <w:spacing w:line="500" w:lineRule="exact"/>
        <w:ind w:firstLineChars="200" w:firstLine="480"/>
        <w:rPr>
          <w:rFonts w:asciiTheme="minorEastAsia" w:hAnsiTheme="minorEastAsia" w:hint="eastAsia"/>
          <w:sz w:val="24"/>
        </w:rPr>
      </w:pPr>
      <w:r>
        <w:rPr>
          <w:rFonts w:asciiTheme="minorEastAsia" w:hAnsiTheme="minorEastAsia" w:hint="eastAsia"/>
          <w:sz w:val="24"/>
        </w:rPr>
        <w:lastRenderedPageBreak/>
        <w:t>2. 教学改革基金申报条件</w:t>
      </w:r>
      <w:bookmarkStart w:id="0" w:name="_Hlk511120760"/>
    </w:p>
    <w:p w:rsidR="00C5088B" w:rsidRDefault="00F90A49" w:rsidP="00C703C7">
      <w:pPr>
        <w:spacing w:line="500" w:lineRule="exact"/>
        <w:ind w:firstLineChars="200" w:firstLine="480"/>
        <w:rPr>
          <w:rFonts w:asciiTheme="minorEastAsia" w:hAnsiTheme="minorEastAsia"/>
          <w:sz w:val="24"/>
        </w:rPr>
      </w:pPr>
      <w:r>
        <w:rPr>
          <w:rFonts w:asciiTheme="minorEastAsia" w:hAnsiTheme="minorEastAsia" w:hint="eastAsia"/>
          <w:sz w:val="24"/>
        </w:rPr>
        <w:t>略。</w:t>
      </w:r>
    </w:p>
    <w:bookmarkEnd w:id="0"/>
    <w:p w:rsidR="00C5088B" w:rsidRDefault="00B07E41">
      <w:pPr>
        <w:pStyle w:val="a5"/>
        <w:spacing w:before="0" w:after="0" w:line="460" w:lineRule="exact"/>
        <w:ind w:firstLineChars="200" w:firstLine="562"/>
        <w:jc w:val="left"/>
        <w:rPr>
          <w:rFonts w:asciiTheme="minorEastAsia" w:eastAsiaTheme="minorEastAsia" w:hAnsiTheme="minorEastAsia" w:cstheme="minorBidi"/>
          <w:sz w:val="28"/>
          <w:szCs w:val="22"/>
        </w:rPr>
      </w:pPr>
      <w:r>
        <w:rPr>
          <w:rFonts w:asciiTheme="minorEastAsia" w:eastAsiaTheme="minorEastAsia" w:hAnsiTheme="minorEastAsia" w:cstheme="minorBidi" w:hint="eastAsia"/>
          <w:sz w:val="28"/>
          <w:szCs w:val="22"/>
        </w:rPr>
        <w:t>三、资源及服务</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针对最终确定支持的合作院校，基金将为高校提供全面的资源和必要的技术支持以及配套的服务内容，以确保高校能够顺利的开展课题的相关工作。对于类似的课题研究，基金定期组织学术交流讨论会议，积极建立以大数据、</w:t>
      </w:r>
      <w:r>
        <w:rPr>
          <w:rFonts w:asciiTheme="minorEastAsia" w:hAnsiTheme="minorEastAsia" w:hint="eastAsia"/>
          <w:sz w:val="24"/>
          <w:szCs w:val="22"/>
        </w:rPr>
        <w:t>网络空间安全、</w:t>
      </w:r>
      <w:r>
        <w:rPr>
          <w:rFonts w:asciiTheme="minorEastAsia" w:hAnsiTheme="minorEastAsia" w:hint="eastAsia"/>
          <w:sz w:val="24"/>
        </w:rPr>
        <w:t>人工智能、区块链</w:t>
      </w:r>
      <w:r w:rsidR="00004F05">
        <w:rPr>
          <w:rFonts w:asciiTheme="minorEastAsia" w:hAnsiTheme="minorEastAsia" w:hint="eastAsia"/>
          <w:sz w:val="24"/>
        </w:rPr>
        <w:t>、</w:t>
      </w:r>
      <w:r>
        <w:rPr>
          <w:rFonts w:asciiTheme="minorEastAsia" w:hAnsiTheme="minorEastAsia" w:hint="eastAsia"/>
          <w:sz w:val="24"/>
        </w:rPr>
        <w:t>云计算等热门专业的科研、教改资源圈，建立信息的沟通平台，并为高校长期提供就业、科研的人才培养支持。</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1.联合国家超级计算长沙中心、以利天诚、国防科大、中科院等业内顶尖的专家团队，为学校提供科研、教学的方案设计和课程体系规</w:t>
      </w:r>
      <w:r w:rsidR="00004F05">
        <w:rPr>
          <w:rFonts w:asciiTheme="minorEastAsia" w:hAnsiTheme="minorEastAsia" w:hint="eastAsia"/>
          <w:sz w:val="24"/>
        </w:rPr>
        <w:t>划。协助完成科研方向的确定，教学方案的制定。支持多校联合申请</w:t>
      </w:r>
      <w:r>
        <w:rPr>
          <w:rFonts w:asciiTheme="minorEastAsia" w:hAnsiTheme="minorEastAsia" w:hint="eastAsia"/>
          <w:sz w:val="24"/>
        </w:rPr>
        <w:t>课题，共同打造科研、教学的联合平台。</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2.通过线上、线下的课程培训内容，为学校提供大数据、</w:t>
      </w:r>
      <w:r>
        <w:rPr>
          <w:rFonts w:asciiTheme="minorEastAsia" w:hAnsiTheme="minorEastAsia" w:hint="eastAsia"/>
          <w:sz w:val="24"/>
          <w:szCs w:val="22"/>
        </w:rPr>
        <w:t>网络空间安全</w:t>
      </w:r>
      <w:r>
        <w:rPr>
          <w:rFonts w:asciiTheme="minorEastAsia" w:hAnsiTheme="minorEastAsia" w:hint="eastAsia"/>
          <w:sz w:val="24"/>
        </w:rPr>
        <w:t>、人工智能、区块链</w:t>
      </w:r>
      <w:r w:rsidR="00004F05">
        <w:rPr>
          <w:rFonts w:asciiTheme="minorEastAsia" w:hAnsiTheme="minorEastAsia" w:hint="eastAsia"/>
          <w:sz w:val="24"/>
        </w:rPr>
        <w:t>、</w:t>
      </w:r>
      <w:r>
        <w:rPr>
          <w:rFonts w:asciiTheme="minorEastAsia" w:hAnsiTheme="minorEastAsia" w:hint="eastAsia"/>
          <w:sz w:val="24"/>
        </w:rPr>
        <w:t>云计算专业领域的培训，培养师资队伍。同时协助推广验证课题的教学模型，协助收集模型试验数据及被试数据，构建更加科学的人才培养体系。</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3.建立起大数据、网络空间安全、人工智能、区块链</w:t>
      </w:r>
      <w:r w:rsidR="00004F05">
        <w:rPr>
          <w:rFonts w:asciiTheme="minorEastAsia" w:hAnsiTheme="minorEastAsia" w:hint="eastAsia"/>
          <w:sz w:val="24"/>
        </w:rPr>
        <w:t>、</w:t>
      </w:r>
      <w:r>
        <w:rPr>
          <w:rFonts w:asciiTheme="minorEastAsia" w:hAnsiTheme="minorEastAsia" w:hint="eastAsia"/>
          <w:sz w:val="24"/>
        </w:rPr>
        <w:t>云计算相关专业的高校技术圈，协助老师开课上课，为学校提供毕业生的实习实训岗位及推荐就业等。</w:t>
      </w:r>
    </w:p>
    <w:p w:rsidR="00C5088B" w:rsidRDefault="00B07E41">
      <w:pPr>
        <w:spacing w:line="460" w:lineRule="exact"/>
        <w:ind w:firstLineChars="200" w:firstLine="480"/>
        <w:rPr>
          <w:rFonts w:asciiTheme="minorEastAsia" w:hAnsiTheme="minorEastAsia"/>
          <w:kern w:val="0"/>
          <w:sz w:val="24"/>
        </w:rPr>
      </w:pPr>
      <w:r>
        <w:rPr>
          <w:rFonts w:asciiTheme="minorEastAsia" w:hAnsiTheme="minorEastAsia" w:hint="eastAsia"/>
          <w:sz w:val="24"/>
        </w:rPr>
        <w:t>4.</w:t>
      </w:r>
      <w:r>
        <w:rPr>
          <w:rFonts w:asciiTheme="minorEastAsia" w:hAnsiTheme="minorEastAsia" w:hint="eastAsia"/>
          <w:kern w:val="0"/>
          <w:sz w:val="24"/>
        </w:rPr>
        <w:t>具有商业推广价值和业内普适性研究成果，可协助推广，申报专利等。</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kern w:val="0"/>
          <w:sz w:val="24"/>
        </w:rPr>
        <w:t>5.</w:t>
      </w:r>
      <w:r>
        <w:rPr>
          <w:rFonts w:asciiTheme="minorEastAsia" w:hAnsiTheme="minorEastAsia" w:hint="eastAsia"/>
          <w:sz w:val="24"/>
        </w:rPr>
        <w:t>应用型、工程型科研创新的最终产品，申报院校与北京以利天诚科技有限公司共同享有商业推广权利。项目完成过程中出版的相关教材，国家超级计算长沙中心和北京以利天诚科技有限公司将作为支持单位署名。</w:t>
      </w:r>
    </w:p>
    <w:p w:rsidR="00792621" w:rsidRDefault="00792621">
      <w:pPr>
        <w:pStyle w:val="a5"/>
        <w:spacing w:before="0" w:after="0" w:line="460" w:lineRule="exact"/>
        <w:ind w:firstLineChars="200" w:firstLine="562"/>
        <w:jc w:val="left"/>
        <w:rPr>
          <w:rFonts w:asciiTheme="minorEastAsia" w:eastAsiaTheme="minorEastAsia" w:hAnsiTheme="minorEastAsia" w:cstheme="minorBidi" w:hint="eastAsia"/>
          <w:sz w:val="28"/>
          <w:szCs w:val="22"/>
        </w:rPr>
      </w:pPr>
    </w:p>
    <w:p w:rsidR="00C5088B" w:rsidRDefault="00B07E41">
      <w:pPr>
        <w:pStyle w:val="a5"/>
        <w:spacing w:before="0" w:after="0" w:line="460" w:lineRule="exact"/>
        <w:ind w:firstLineChars="200" w:firstLine="562"/>
        <w:jc w:val="left"/>
        <w:rPr>
          <w:rFonts w:asciiTheme="minorEastAsia" w:eastAsiaTheme="minorEastAsia" w:hAnsiTheme="minorEastAsia" w:cstheme="minorBidi"/>
          <w:sz w:val="28"/>
          <w:szCs w:val="22"/>
        </w:rPr>
      </w:pPr>
      <w:bookmarkStart w:id="1" w:name="_GoBack"/>
      <w:bookmarkEnd w:id="1"/>
      <w:r>
        <w:rPr>
          <w:rFonts w:asciiTheme="minorEastAsia" w:eastAsiaTheme="minorEastAsia" w:hAnsiTheme="minorEastAsia" w:cstheme="minorBidi" w:hint="eastAsia"/>
          <w:sz w:val="28"/>
          <w:szCs w:val="22"/>
        </w:rPr>
        <w:t>四、课题申报说明</w:t>
      </w:r>
    </w:p>
    <w:p w:rsidR="00C5088B" w:rsidRDefault="00B07E41">
      <w:pPr>
        <w:pStyle w:val="a5"/>
        <w:spacing w:before="0" w:after="0" w:line="46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1.申报人须仔细阅读申报指南，按照指南详细填写申报书，填写不合要求的项目会按照格式不符合要求处理。</w:t>
      </w:r>
    </w:p>
    <w:p w:rsidR="00C5088B" w:rsidRDefault="00B07E41">
      <w:pPr>
        <w:pStyle w:val="a5"/>
        <w:spacing w:before="0" w:after="0" w:line="460" w:lineRule="exact"/>
        <w:ind w:firstLineChars="200" w:firstLine="480"/>
        <w:jc w:val="left"/>
        <w:rPr>
          <w:rFonts w:asciiTheme="minorEastAsia" w:eastAsiaTheme="minorEastAsia" w:hAnsiTheme="minorEastAsia"/>
          <w:b w:val="0"/>
          <w:sz w:val="24"/>
        </w:rPr>
      </w:pPr>
      <w:r>
        <w:rPr>
          <w:rFonts w:asciiTheme="minorEastAsia" w:eastAsiaTheme="minorEastAsia" w:hAnsiTheme="minorEastAsia" w:hint="eastAsia"/>
          <w:b w:val="0"/>
          <w:sz w:val="24"/>
        </w:rPr>
        <w:t>2.申报书电子版须发送至指定邮箱，纸质版一式两份寄送至指定地址，都必须在规定的时间完成，只发送电子版或者只发送纸质版按格式不符合要求处理；为方便评审，电子版发送时，请按以下命名规则命名申报书文件：</w:t>
      </w:r>
    </w:p>
    <w:p w:rsidR="00C5088B" w:rsidRDefault="00B07E41">
      <w:pPr>
        <w:pStyle w:val="a9"/>
        <w:spacing w:line="460" w:lineRule="exact"/>
        <w:ind w:left="0" w:firstLineChars="200" w:firstLine="482"/>
        <w:rPr>
          <w:rFonts w:asciiTheme="minorEastAsia" w:hAnsiTheme="minorEastAsia"/>
          <w:b/>
          <w:sz w:val="24"/>
        </w:rPr>
      </w:pPr>
      <w:r>
        <w:rPr>
          <w:rFonts w:asciiTheme="minorEastAsia" w:hAnsiTheme="minorEastAsia" w:hint="eastAsia"/>
          <w:b/>
          <w:sz w:val="24"/>
        </w:rPr>
        <w:t>基金类型+学校名称+申请人姓名</w:t>
      </w:r>
    </w:p>
    <w:p w:rsidR="00C5088B" w:rsidRDefault="00B07E41">
      <w:pPr>
        <w:pStyle w:val="a9"/>
        <w:spacing w:line="460" w:lineRule="exact"/>
        <w:ind w:left="0" w:firstLineChars="200" w:firstLine="480"/>
        <w:rPr>
          <w:rFonts w:asciiTheme="minorEastAsia" w:hAnsiTheme="minorEastAsia"/>
          <w:b/>
          <w:sz w:val="24"/>
        </w:rPr>
      </w:pPr>
      <w:r>
        <w:rPr>
          <w:rFonts w:asciiTheme="minorEastAsia" w:hAnsiTheme="minorEastAsia" w:hint="eastAsia"/>
          <w:sz w:val="24"/>
        </w:rPr>
        <w:lastRenderedPageBreak/>
        <w:t>注意：申报书中手机和邮箱必须填写。</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3.创新促教基金选题列表上的11个方向都不限定课题数量，但是如果存在内容重复的相似课题，专家组将根据课题组技术积累、课题方案、课题支撑条件等要素择优选择资助课题。</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4.如果以联合课题组的形式申报课题，需要列明不同学校单位的项目贡献度比例，课题资助将按照贡献度比例进行分配。</w:t>
      </w:r>
    </w:p>
    <w:p w:rsidR="00C5088B" w:rsidRDefault="00C5088B">
      <w:pPr>
        <w:pStyle w:val="a5"/>
        <w:spacing w:before="0" w:after="0" w:line="460" w:lineRule="exact"/>
        <w:ind w:firstLineChars="200" w:firstLine="562"/>
        <w:jc w:val="left"/>
        <w:rPr>
          <w:rFonts w:asciiTheme="minorEastAsia" w:eastAsiaTheme="minorEastAsia" w:hAnsiTheme="minorEastAsia" w:cstheme="minorBidi"/>
          <w:sz w:val="28"/>
          <w:szCs w:val="22"/>
        </w:rPr>
      </w:pPr>
    </w:p>
    <w:p w:rsidR="00C5088B" w:rsidRDefault="00B07E41">
      <w:pPr>
        <w:pStyle w:val="a5"/>
        <w:spacing w:before="0" w:after="0" w:line="460" w:lineRule="exact"/>
        <w:ind w:firstLineChars="200" w:firstLine="562"/>
        <w:jc w:val="left"/>
        <w:rPr>
          <w:rFonts w:asciiTheme="minorEastAsia" w:eastAsiaTheme="minorEastAsia" w:hAnsiTheme="minorEastAsia" w:cstheme="minorBidi"/>
          <w:sz w:val="28"/>
          <w:szCs w:val="22"/>
        </w:rPr>
      </w:pPr>
      <w:r>
        <w:rPr>
          <w:rFonts w:asciiTheme="minorEastAsia" w:eastAsiaTheme="minorEastAsia" w:hAnsiTheme="minorEastAsia" w:cstheme="minorBidi" w:hint="eastAsia"/>
          <w:sz w:val="28"/>
          <w:szCs w:val="22"/>
        </w:rPr>
        <w:t>五、计划执行</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1. 2</w:t>
      </w:r>
      <w:r>
        <w:rPr>
          <w:rFonts w:asciiTheme="minorEastAsia" w:hAnsiTheme="minorEastAsia"/>
          <w:sz w:val="24"/>
        </w:rPr>
        <w:t>018</w:t>
      </w:r>
      <w:r>
        <w:rPr>
          <w:rFonts w:asciiTheme="minorEastAsia" w:hAnsiTheme="minorEastAsia" w:hint="eastAsia"/>
          <w:sz w:val="24"/>
        </w:rPr>
        <w:t>年6月科技发展中心发布第一批“天诚汇智”产教联合基金课题的通知。</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2. 院校填报《“天诚汇智”创新促教基金申报书》，经学校盖章后寄送给教育部科技发展中心，并同时报送电子版申请书，申请截止时间为2</w:t>
      </w:r>
      <w:r>
        <w:rPr>
          <w:rFonts w:asciiTheme="minorEastAsia" w:hAnsiTheme="minorEastAsia"/>
          <w:sz w:val="24"/>
        </w:rPr>
        <w:t>018</w:t>
      </w:r>
      <w:r>
        <w:rPr>
          <w:rFonts w:asciiTheme="minorEastAsia" w:hAnsiTheme="minorEastAsia" w:hint="eastAsia"/>
          <w:sz w:val="24"/>
        </w:rPr>
        <w:t>年9月30日。</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3. 20</w:t>
      </w:r>
      <w:r>
        <w:rPr>
          <w:rFonts w:asciiTheme="minorEastAsia" w:hAnsiTheme="minorEastAsia"/>
          <w:sz w:val="24"/>
        </w:rPr>
        <w:t>18</w:t>
      </w:r>
      <w:r>
        <w:rPr>
          <w:rFonts w:asciiTheme="minorEastAsia" w:hAnsiTheme="minorEastAsia" w:hint="eastAsia"/>
          <w:sz w:val="24"/>
        </w:rPr>
        <w:t>年11月30日前，教育部科技发展中心指定专家团队和以利天诚组成的基金管理小组对申报课题进行资格预审。</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4.2</w:t>
      </w:r>
      <w:r>
        <w:rPr>
          <w:rFonts w:asciiTheme="minorEastAsia" w:hAnsiTheme="minorEastAsia"/>
          <w:sz w:val="24"/>
        </w:rPr>
        <w:t>01</w:t>
      </w:r>
      <w:r>
        <w:rPr>
          <w:rFonts w:asciiTheme="minorEastAsia" w:hAnsiTheme="minorEastAsia" w:hint="eastAsia"/>
          <w:sz w:val="24"/>
        </w:rPr>
        <w:t>9年2月20日前，教育部科技发展中心召集专家评委会对申报基金课题进行评审并遴选出拟立项课题。课题负责人填写《“天诚汇智”创新促教基金资助项目计划书》。以利天诚和立项院校签署合作协议，确定课题周期、课题要求和付款方式等课题细节。</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5. 2</w:t>
      </w:r>
      <w:r>
        <w:rPr>
          <w:rFonts w:asciiTheme="minorEastAsia" w:hAnsiTheme="minorEastAsia"/>
          <w:sz w:val="24"/>
        </w:rPr>
        <w:t>01</w:t>
      </w:r>
      <w:r>
        <w:rPr>
          <w:rFonts w:asciiTheme="minorEastAsia" w:hAnsiTheme="minorEastAsia" w:hint="eastAsia"/>
          <w:sz w:val="24"/>
        </w:rPr>
        <w:t>9年2月28日前，教育部科技发展中心公示合作院校和课题名单。课题进入执行期，院校启动课题科研环境的建设。</w:t>
      </w:r>
    </w:p>
    <w:p w:rsidR="00BF14EE"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 xml:space="preserve">6. </w:t>
      </w:r>
      <w:r w:rsidR="00BF14EE">
        <w:rPr>
          <w:rFonts w:asciiTheme="minorEastAsia" w:hAnsiTheme="minorEastAsia" w:hint="eastAsia"/>
          <w:sz w:val="24"/>
        </w:rPr>
        <w:t>201</w:t>
      </w:r>
      <w:r w:rsidR="00BF14EE">
        <w:rPr>
          <w:rFonts w:asciiTheme="minorEastAsia" w:hAnsiTheme="minorEastAsia"/>
          <w:sz w:val="24"/>
        </w:rPr>
        <w:t>9</w:t>
      </w:r>
      <w:r w:rsidR="00BF14EE">
        <w:rPr>
          <w:rFonts w:asciiTheme="minorEastAsia" w:hAnsiTheme="minorEastAsia" w:hint="eastAsia"/>
          <w:sz w:val="24"/>
        </w:rPr>
        <w:t>年3月</w:t>
      </w:r>
      <w:r w:rsidR="00BF14EE">
        <w:rPr>
          <w:rFonts w:asciiTheme="minorEastAsia" w:hAnsiTheme="minorEastAsia"/>
          <w:sz w:val="24"/>
        </w:rPr>
        <w:t>1</w:t>
      </w:r>
      <w:r w:rsidR="00BF14EE">
        <w:rPr>
          <w:rFonts w:asciiTheme="minorEastAsia" w:hAnsiTheme="minorEastAsia" w:hint="eastAsia"/>
          <w:sz w:val="24"/>
        </w:rPr>
        <w:t>日～</w:t>
      </w:r>
      <w:r w:rsidR="00BF14EE">
        <w:rPr>
          <w:rFonts w:asciiTheme="minorEastAsia" w:hAnsiTheme="minorEastAsia"/>
          <w:sz w:val="24"/>
        </w:rPr>
        <w:t>20</w:t>
      </w:r>
      <w:r w:rsidR="00BF14EE">
        <w:rPr>
          <w:rFonts w:asciiTheme="minorEastAsia" w:hAnsiTheme="minorEastAsia" w:hint="eastAsia"/>
          <w:sz w:val="24"/>
        </w:rPr>
        <w:t>20年2月28日为课题执行期，可根据项目复杂程度适度延长执行周期，最长不超过两年。</w:t>
      </w:r>
    </w:p>
    <w:p w:rsidR="00C5088B" w:rsidRDefault="00BF14EE" w:rsidP="00BF14EE">
      <w:pPr>
        <w:spacing w:line="460" w:lineRule="exact"/>
        <w:ind w:firstLineChars="200" w:firstLine="480"/>
        <w:rPr>
          <w:rFonts w:asciiTheme="minorEastAsia" w:hAnsiTheme="minorEastAsia"/>
          <w:sz w:val="24"/>
        </w:rPr>
      </w:pPr>
      <w:r>
        <w:rPr>
          <w:rFonts w:asciiTheme="minorEastAsia" w:hAnsiTheme="minorEastAsia" w:hint="eastAsia"/>
          <w:sz w:val="24"/>
        </w:rPr>
        <w:t>7.</w:t>
      </w:r>
      <w:r w:rsidR="00B07E41">
        <w:rPr>
          <w:rFonts w:asciiTheme="minorEastAsia" w:hAnsiTheme="minorEastAsia"/>
          <w:sz w:val="24"/>
        </w:rPr>
        <w:t>2019年</w:t>
      </w:r>
      <w:r w:rsidR="00B07E41">
        <w:rPr>
          <w:rFonts w:asciiTheme="minorEastAsia" w:hAnsiTheme="minorEastAsia" w:hint="eastAsia"/>
          <w:sz w:val="24"/>
        </w:rPr>
        <w:t>5月31日前，基金管理小组进行课题科研环境的初验，初验通过后，按照合作协议约定提供第一阶段的课题经费或设备；初验未通过的学校，提出整改意见，等待下次验收。</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8. 201</w:t>
      </w:r>
      <w:r>
        <w:rPr>
          <w:rFonts w:asciiTheme="minorEastAsia" w:hAnsiTheme="minorEastAsia"/>
          <w:sz w:val="24"/>
        </w:rPr>
        <w:t>9</w:t>
      </w:r>
      <w:r>
        <w:rPr>
          <w:rFonts w:asciiTheme="minorEastAsia" w:hAnsiTheme="minorEastAsia" w:hint="eastAsia"/>
          <w:sz w:val="24"/>
        </w:rPr>
        <w:t>年9月30日前，项目负责人提交课题中期总结，基金管理小组进行项目中期评审。评审通过后，北京以利天诚科技有限公司按评审结果提供第二阶段的课题经费或设备。</w:t>
      </w:r>
    </w:p>
    <w:p w:rsidR="00C5088B" w:rsidRDefault="00B07E41">
      <w:pPr>
        <w:spacing w:line="460" w:lineRule="exact"/>
        <w:ind w:firstLineChars="200" w:firstLine="480"/>
        <w:rPr>
          <w:rFonts w:asciiTheme="minorEastAsia" w:hAnsiTheme="minorEastAsia"/>
          <w:sz w:val="24"/>
        </w:rPr>
      </w:pPr>
      <w:r>
        <w:rPr>
          <w:rFonts w:asciiTheme="minorEastAsia" w:hAnsiTheme="minorEastAsia" w:hint="eastAsia"/>
          <w:sz w:val="24"/>
        </w:rPr>
        <w:t>9. 2020年2月28日前，项目负责人提交正式结题报告。教育部科技发展</w:t>
      </w:r>
      <w:r>
        <w:rPr>
          <w:rFonts w:asciiTheme="minorEastAsia" w:hAnsiTheme="minorEastAsia" w:hint="eastAsia"/>
          <w:sz w:val="24"/>
        </w:rPr>
        <w:lastRenderedPageBreak/>
        <w:t>中心组织</w:t>
      </w:r>
      <w:r w:rsidR="00BF14EE">
        <w:rPr>
          <w:rFonts w:asciiTheme="minorEastAsia" w:hAnsiTheme="minorEastAsia" w:hint="eastAsia"/>
          <w:sz w:val="24"/>
        </w:rPr>
        <w:t>相关专家，根据科研创新成果的转换情况和人才培养的结果，对课题</w:t>
      </w:r>
      <w:r>
        <w:rPr>
          <w:rFonts w:asciiTheme="minorEastAsia" w:hAnsiTheme="minorEastAsia" w:hint="eastAsia"/>
          <w:sz w:val="24"/>
        </w:rPr>
        <w:t>进行验收, 评审通过后，北京以利天诚科技有限公司按评审结果提供剩余的课题经费或设备。</w:t>
      </w:r>
    </w:p>
    <w:sectPr w:rsidR="00C5088B" w:rsidSect="00C5088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D4" w:rsidRDefault="00603ED4" w:rsidP="00C5088B">
      <w:r>
        <w:separator/>
      </w:r>
    </w:p>
  </w:endnote>
  <w:endnote w:type="continuationSeparator" w:id="0">
    <w:p w:rsidR="00603ED4" w:rsidRDefault="00603ED4" w:rsidP="00C5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8B" w:rsidRDefault="00603ED4">
    <w:pPr>
      <w:pStyle w:val="a3"/>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5088B" w:rsidRDefault="00864163">
                <w:pPr>
                  <w:pStyle w:val="a3"/>
                </w:pPr>
                <w:r>
                  <w:rPr>
                    <w:rFonts w:hint="eastAsia"/>
                  </w:rPr>
                  <w:fldChar w:fldCharType="begin"/>
                </w:r>
                <w:r w:rsidR="00B07E41">
                  <w:rPr>
                    <w:rFonts w:hint="eastAsia"/>
                  </w:rPr>
                  <w:instrText xml:space="preserve"> PAGE  \* MERGEFORMAT </w:instrText>
                </w:r>
                <w:r>
                  <w:rPr>
                    <w:rFonts w:hint="eastAsia"/>
                  </w:rPr>
                  <w:fldChar w:fldCharType="separate"/>
                </w:r>
                <w:r w:rsidR="00792621">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D4" w:rsidRDefault="00603ED4" w:rsidP="00C5088B">
      <w:r>
        <w:separator/>
      </w:r>
    </w:p>
  </w:footnote>
  <w:footnote w:type="continuationSeparator" w:id="0">
    <w:p w:rsidR="00603ED4" w:rsidRDefault="00603ED4" w:rsidP="00C50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DBF1B"/>
    <w:multiLevelType w:val="singleLevel"/>
    <w:tmpl w:val="A25DBF1B"/>
    <w:lvl w:ilvl="0">
      <w:start w:val="1"/>
      <w:numFmt w:val="decimal"/>
      <w:lvlText w:val="%1."/>
      <w:lvlJc w:val="left"/>
      <w:pPr>
        <w:tabs>
          <w:tab w:val="left" w:pos="312"/>
        </w:tabs>
      </w:pPr>
    </w:lvl>
  </w:abstractNum>
  <w:abstractNum w:abstractNumId="1">
    <w:nsid w:val="C12688FE"/>
    <w:multiLevelType w:val="singleLevel"/>
    <w:tmpl w:val="C12688FE"/>
    <w:lvl w:ilvl="0">
      <w:start w:val="1"/>
      <w:numFmt w:val="decimal"/>
      <w:lvlText w:val="%1."/>
      <w:lvlJc w:val="left"/>
      <w:pPr>
        <w:tabs>
          <w:tab w:val="left" w:pos="312"/>
        </w:tabs>
      </w:pPr>
    </w:lvl>
  </w:abstractNum>
  <w:abstractNum w:abstractNumId="2">
    <w:nsid w:val="DD50692A"/>
    <w:multiLevelType w:val="singleLevel"/>
    <w:tmpl w:val="DD50692A"/>
    <w:lvl w:ilvl="0">
      <w:start w:val="1"/>
      <w:numFmt w:val="decimal"/>
      <w:suff w:val="space"/>
      <w:lvlText w:val="%1."/>
      <w:lvlJc w:val="left"/>
    </w:lvl>
  </w:abstractNum>
  <w:abstractNum w:abstractNumId="3">
    <w:nsid w:val="1C691141"/>
    <w:multiLevelType w:val="multilevel"/>
    <w:tmpl w:val="1C6911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7E44D8"/>
    <w:multiLevelType w:val="singleLevel"/>
    <w:tmpl w:val="227E44D8"/>
    <w:lvl w:ilvl="0">
      <w:start w:val="1"/>
      <w:numFmt w:val="decimal"/>
      <w:suff w:val="space"/>
      <w:lvlText w:val="%1."/>
      <w:lvlJc w:val="left"/>
    </w:lvl>
  </w:abstractNum>
  <w:abstractNum w:abstractNumId="5">
    <w:nsid w:val="42410355"/>
    <w:multiLevelType w:val="multilevel"/>
    <w:tmpl w:val="42410355"/>
    <w:lvl w:ilvl="0">
      <w:start w:val="1"/>
      <w:numFmt w:val="decimal"/>
      <w:lvlText w:val="%1."/>
      <w:lvlJc w:val="left"/>
      <w:pPr>
        <w:ind w:left="420" w:hanging="420"/>
      </w:pPr>
      <w:rPr>
        <w:rFonts w:hint="eastAsia"/>
      </w:rPr>
    </w:lvl>
    <w:lvl w:ilvl="1">
      <w:start w:val="1"/>
      <w:numFmt w:val="lowerLetter"/>
      <w:lvlText w:val="%2)"/>
      <w:lvlJc w:val="left"/>
      <w:pPr>
        <w:ind w:left="-120" w:hanging="420"/>
      </w:pPr>
    </w:lvl>
    <w:lvl w:ilvl="2">
      <w:start w:val="1"/>
      <w:numFmt w:val="lowerRoman"/>
      <w:lvlText w:val="%3."/>
      <w:lvlJc w:val="right"/>
      <w:pPr>
        <w:ind w:left="300" w:hanging="420"/>
      </w:pPr>
    </w:lvl>
    <w:lvl w:ilvl="3">
      <w:start w:val="1"/>
      <w:numFmt w:val="decimal"/>
      <w:lvlText w:val="%4."/>
      <w:lvlJc w:val="left"/>
      <w:pPr>
        <w:ind w:left="720" w:hanging="420"/>
      </w:pPr>
    </w:lvl>
    <w:lvl w:ilvl="4">
      <w:start w:val="1"/>
      <w:numFmt w:val="lowerLetter"/>
      <w:lvlText w:val="%5)"/>
      <w:lvlJc w:val="left"/>
      <w:pPr>
        <w:ind w:left="1140" w:hanging="420"/>
      </w:pPr>
    </w:lvl>
    <w:lvl w:ilvl="5">
      <w:start w:val="1"/>
      <w:numFmt w:val="lowerRoman"/>
      <w:lvlText w:val="%6."/>
      <w:lvlJc w:val="right"/>
      <w:pPr>
        <w:ind w:left="1560" w:hanging="420"/>
      </w:pPr>
    </w:lvl>
    <w:lvl w:ilvl="6">
      <w:start w:val="1"/>
      <w:numFmt w:val="decimal"/>
      <w:lvlText w:val="%7."/>
      <w:lvlJc w:val="left"/>
      <w:pPr>
        <w:ind w:left="1980" w:hanging="420"/>
      </w:pPr>
    </w:lvl>
    <w:lvl w:ilvl="7">
      <w:start w:val="1"/>
      <w:numFmt w:val="lowerLetter"/>
      <w:lvlText w:val="%8)"/>
      <w:lvlJc w:val="left"/>
      <w:pPr>
        <w:ind w:left="2400" w:hanging="420"/>
      </w:pPr>
    </w:lvl>
    <w:lvl w:ilvl="8">
      <w:start w:val="1"/>
      <w:numFmt w:val="lowerRoman"/>
      <w:lvlText w:val="%9."/>
      <w:lvlJc w:val="right"/>
      <w:pPr>
        <w:ind w:left="2820" w:hanging="420"/>
      </w:pPr>
    </w:lvl>
  </w:abstractNum>
  <w:abstractNum w:abstractNumId="6">
    <w:nsid w:val="48D566BB"/>
    <w:multiLevelType w:val="multilevel"/>
    <w:tmpl w:val="48D566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D8A61EA"/>
    <w:multiLevelType w:val="multilevel"/>
    <w:tmpl w:val="4D8A61E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8"/>
  </w:num>
  <w:num w:numId="2">
    <w:abstractNumId w:val="0"/>
  </w:num>
  <w:num w:numId="3">
    <w:abstractNumId w:val="7"/>
  </w:num>
  <w:num w:numId="4">
    <w:abstractNumId w:val="4"/>
  </w:num>
  <w:num w:numId="5">
    <w:abstractNumId w:val="3"/>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747790D"/>
    <w:rsid w:val="00004F05"/>
    <w:rsid w:val="00067AC1"/>
    <w:rsid w:val="000A501E"/>
    <w:rsid w:val="00224D67"/>
    <w:rsid w:val="00282F14"/>
    <w:rsid w:val="002A1E9E"/>
    <w:rsid w:val="003E5639"/>
    <w:rsid w:val="00412084"/>
    <w:rsid w:val="0043594F"/>
    <w:rsid w:val="0049025B"/>
    <w:rsid w:val="00527C94"/>
    <w:rsid w:val="005D2CF6"/>
    <w:rsid w:val="00601CB6"/>
    <w:rsid w:val="00603ED4"/>
    <w:rsid w:val="006749C7"/>
    <w:rsid w:val="00792621"/>
    <w:rsid w:val="007D5CE8"/>
    <w:rsid w:val="007F02BA"/>
    <w:rsid w:val="00826D6B"/>
    <w:rsid w:val="00837F87"/>
    <w:rsid w:val="00864163"/>
    <w:rsid w:val="008810A7"/>
    <w:rsid w:val="00891CFD"/>
    <w:rsid w:val="00956ECF"/>
    <w:rsid w:val="00995D2B"/>
    <w:rsid w:val="009A6B4A"/>
    <w:rsid w:val="009D2264"/>
    <w:rsid w:val="00A03FC2"/>
    <w:rsid w:val="00A22BA6"/>
    <w:rsid w:val="00A30AF1"/>
    <w:rsid w:val="00A660B7"/>
    <w:rsid w:val="00A71CE0"/>
    <w:rsid w:val="00A77F8B"/>
    <w:rsid w:val="00AC658E"/>
    <w:rsid w:val="00B03FE7"/>
    <w:rsid w:val="00B07E41"/>
    <w:rsid w:val="00B420DB"/>
    <w:rsid w:val="00B5723E"/>
    <w:rsid w:val="00B94357"/>
    <w:rsid w:val="00B96F61"/>
    <w:rsid w:val="00BF14EE"/>
    <w:rsid w:val="00C22CA9"/>
    <w:rsid w:val="00C5088B"/>
    <w:rsid w:val="00C6469B"/>
    <w:rsid w:val="00C703C7"/>
    <w:rsid w:val="00CA2834"/>
    <w:rsid w:val="00CC1E0B"/>
    <w:rsid w:val="00CF1845"/>
    <w:rsid w:val="00D6346B"/>
    <w:rsid w:val="00D73998"/>
    <w:rsid w:val="00DD743F"/>
    <w:rsid w:val="00E11409"/>
    <w:rsid w:val="00E67A07"/>
    <w:rsid w:val="00E967CD"/>
    <w:rsid w:val="00E96822"/>
    <w:rsid w:val="00EA5F1D"/>
    <w:rsid w:val="00F324EF"/>
    <w:rsid w:val="00F44AE0"/>
    <w:rsid w:val="00F6354C"/>
    <w:rsid w:val="00F90A49"/>
    <w:rsid w:val="00FD6B5D"/>
    <w:rsid w:val="02036BB3"/>
    <w:rsid w:val="03E52B2D"/>
    <w:rsid w:val="04DC5E9A"/>
    <w:rsid w:val="069808FA"/>
    <w:rsid w:val="08253371"/>
    <w:rsid w:val="090C7F10"/>
    <w:rsid w:val="0A842D32"/>
    <w:rsid w:val="0B76751F"/>
    <w:rsid w:val="0B996AA0"/>
    <w:rsid w:val="10AB1C09"/>
    <w:rsid w:val="118201C5"/>
    <w:rsid w:val="135E2EBD"/>
    <w:rsid w:val="13A73140"/>
    <w:rsid w:val="140B59CC"/>
    <w:rsid w:val="16995924"/>
    <w:rsid w:val="1D8B6853"/>
    <w:rsid w:val="1FA86635"/>
    <w:rsid w:val="21A859A3"/>
    <w:rsid w:val="24355215"/>
    <w:rsid w:val="288D7FA4"/>
    <w:rsid w:val="2B226A2C"/>
    <w:rsid w:val="2B440F69"/>
    <w:rsid w:val="2D440753"/>
    <w:rsid w:val="2DA92292"/>
    <w:rsid w:val="30C57A07"/>
    <w:rsid w:val="315E6DD0"/>
    <w:rsid w:val="369E64C1"/>
    <w:rsid w:val="371213DF"/>
    <w:rsid w:val="38B6735F"/>
    <w:rsid w:val="3ACE5F7D"/>
    <w:rsid w:val="3C4C2E5C"/>
    <w:rsid w:val="3DF206FC"/>
    <w:rsid w:val="3DF57598"/>
    <w:rsid w:val="3F8567F0"/>
    <w:rsid w:val="3F8F7388"/>
    <w:rsid w:val="3F9E6ABA"/>
    <w:rsid w:val="432D480F"/>
    <w:rsid w:val="438479A0"/>
    <w:rsid w:val="44595433"/>
    <w:rsid w:val="47786A0B"/>
    <w:rsid w:val="48130902"/>
    <w:rsid w:val="499E17B5"/>
    <w:rsid w:val="4C425F7C"/>
    <w:rsid w:val="4C7C2A02"/>
    <w:rsid w:val="4CFF31C0"/>
    <w:rsid w:val="4EB40E27"/>
    <w:rsid w:val="511946F2"/>
    <w:rsid w:val="53C2537A"/>
    <w:rsid w:val="54DC513C"/>
    <w:rsid w:val="56B23D76"/>
    <w:rsid w:val="57A23004"/>
    <w:rsid w:val="584B1B36"/>
    <w:rsid w:val="595A1575"/>
    <w:rsid w:val="5AE74FCA"/>
    <w:rsid w:val="5D0059D3"/>
    <w:rsid w:val="5EC3450B"/>
    <w:rsid w:val="5FAE072F"/>
    <w:rsid w:val="607D583B"/>
    <w:rsid w:val="60F62F39"/>
    <w:rsid w:val="612B27A5"/>
    <w:rsid w:val="62DD39A1"/>
    <w:rsid w:val="64956D3F"/>
    <w:rsid w:val="64EC5C1E"/>
    <w:rsid w:val="65305647"/>
    <w:rsid w:val="670B0CD8"/>
    <w:rsid w:val="6747790D"/>
    <w:rsid w:val="68E53937"/>
    <w:rsid w:val="6B1C385E"/>
    <w:rsid w:val="6D535020"/>
    <w:rsid w:val="6E8B66A2"/>
    <w:rsid w:val="6E9A0074"/>
    <w:rsid w:val="704B4B26"/>
    <w:rsid w:val="740F69F6"/>
    <w:rsid w:val="78FE5599"/>
    <w:rsid w:val="7B415CAD"/>
    <w:rsid w:val="7D256ED1"/>
    <w:rsid w:val="7FFB5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88B"/>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C5088B"/>
    <w:pPr>
      <w:keepNext/>
      <w:keepLines/>
      <w:spacing w:line="360" w:lineRule="auto"/>
      <w:outlineLvl w:val="0"/>
    </w:pPr>
    <w:rPr>
      <w:rFonts w:ascii="微软雅黑" w:eastAsia="宋体" w:hAnsi="微软雅黑" w:cs="宋体"/>
      <w:b/>
      <w:bCs/>
      <w:kern w:val="44"/>
      <w:sz w:val="30"/>
      <w:szCs w:val="44"/>
    </w:rPr>
  </w:style>
  <w:style w:type="paragraph" w:styleId="2">
    <w:name w:val="heading 2"/>
    <w:basedOn w:val="a"/>
    <w:next w:val="a"/>
    <w:unhideWhenUsed/>
    <w:qFormat/>
    <w:rsid w:val="00C5088B"/>
    <w:pPr>
      <w:numPr>
        <w:numId w:val="1"/>
      </w:numPr>
      <w:spacing w:beforeLines="50"/>
      <w:ind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5088B"/>
    <w:pPr>
      <w:tabs>
        <w:tab w:val="center" w:pos="4153"/>
        <w:tab w:val="right" w:pos="8306"/>
      </w:tabs>
      <w:snapToGrid w:val="0"/>
      <w:spacing w:line="240" w:lineRule="atLeast"/>
    </w:pPr>
    <w:rPr>
      <w:sz w:val="18"/>
      <w:szCs w:val="18"/>
    </w:rPr>
  </w:style>
  <w:style w:type="paragraph" w:styleId="a4">
    <w:name w:val="header"/>
    <w:basedOn w:val="a"/>
    <w:uiPriority w:val="99"/>
    <w:unhideWhenUsed/>
    <w:qFormat/>
    <w:rsid w:val="00C5088B"/>
    <w:pPr>
      <w:pBdr>
        <w:bottom w:val="single" w:sz="6" w:space="1" w:color="auto"/>
      </w:pBdr>
      <w:tabs>
        <w:tab w:val="center" w:pos="4153"/>
        <w:tab w:val="right" w:pos="8306"/>
      </w:tabs>
      <w:snapToGrid w:val="0"/>
      <w:spacing w:line="240" w:lineRule="atLeast"/>
      <w:jc w:val="center"/>
    </w:pPr>
    <w:rPr>
      <w:sz w:val="18"/>
      <w:szCs w:val="18"/>
    </w:rPr>
  </w:style>
  <w:style w:type="paragraph" w:styleId="a5">
    <w:name w:val="Title"/>
    <w:basedOn w:val="a"/>
    <w:next w:val="a"/>
    <w:link w:val="Char"/>
    <w:qFormat/>
    <w:rsid w:val="00C5088B"/>
    <w:pPr>
      <w:spacing w:before="240" w:after="60"/>
      <w:jc w:val="center"/>
      <w:outlineLvl w:val="0"/>
    </w:pPr>
    <w:rPr>
      <w:rFonts w:asciiTheme="majorHAnsi" w:eastAsia="宋体" w:hAnsiTheme="majorHAnsi" w:cstheme="majorBidi"/>
      <w:b/>
      <w:bCs/>
      <w:sz w:val="32"/>
      <w:szCs w:val="32"/>
    </w:rPr>
  </w:style>
  <w:style w:type="character" w:styleId="a6">
    <w:name w:val="Strong"/>
    <w:uiPriority w:val="22"/>
    <w:qFormat/>
    <w:rsid w:val="00C5088B"/>
    <w:rPr>
      <w:rFonts w:ascii="Constantia" w:eastAsia="微软雅黑" w:hAnsi="Constantia"/>
      <w:bCs/>
      <w:spacing w:val="0"/>
      <w:sz w:val="24"/>
    </w:rPr>
  </w:style>
  <w:style w:type="character" w:styleId="a7">
    <w:name w:val="Hyperlink"/>
    <w:uiPriority w:val="99"/>
    <w:unhideWhenUsed/>
    <w:qFormat/>
    <w:rsid w:val="00C5088B"/>
    <w:rPr>
      <w:color w:val="0000FF"/>
      <w:u w:val="single"/>
    </w:rPr>
  </w:style>
  <w:style w:type="table" w:styleId="a8">
    <w:name w:val="Table Grid"/>
    <w:basedOn w:val="a1"/>
    <w:uiPriority w:val="59"/>
    <w:qFormat/>
    <w:rsid w:val="00C5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Char0"/>
    <w:uiPriority w:val="34"/>
    <w:qFormat/>
    <w:rsid w:val="00C5088B"/>
    <w:pPr>
      <w:ind w:left="720"/>
      <w:contextualSpacing/>
    </w:pPr>
  </w:style>
  <w:style w:type="character" w:customStyle="1" w:styleId="Char0">
    <w:name w:val="列出段落 Char"/>
    <w:link w:val="a9"/>
    <w:uiPriority w:val="34"/>
    <w:rsid w:val="00C5088B"/>
    <w:rPr>
      <w:rFonts w:asciiTheme="minorHAnsi" w:eastAsiaTheme="minorEastAsia" w:hAnsiTheme="minorHAnsi" w:cstheme="minorBidi"/>
      <w:kern w:val="2"/>
      <w:sz w:val="21"/>
      <w:szCs w:val="24"/>
    </w:rPr>
  </w:style>
  <w:style w:type="character" w:customStyle="1" w:styleId="Char">
    <w:name w:val="标题 Char"/>
    <w:basedOn w:val="a0"/>
    <w:link w:val="a5"/>
    <w:qFormat/>
    <w:rsid w:val="00C5088B"/>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80B0E-6083-42DE-8DD0-29CEA5C2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19</TotalTime>
  <Pages>9</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小涵1418356385</dc:creator>
  <cp:lastModifiedBy>zrb</cp:lastModifiedBy>
  <cp:revision>10</cp:revision>
  <dcterms:created xsi:type="dcterms:W3CDTF">2018-06-12T01:43:00Z</dcterms:created>
  <dcterms:modified xsi:type="dcterms:W3CDTF">2018-07-04T01:06:00Z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