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heme="majorEastAsia" w:hAnsiTheme="majorEastAsia" w:eastAsiaTheme="majorEastAsia"/>
          <w:b/>
          <w:sz w:val="36"/>
          <w:szCs w:val="36"/>
        </w:rPr>
      </w:pPr>
    </w:p>
    <w:p>
      <w:pPr>
        <w:spacing w:line="520" w:lineRule="exact"/>
        <w:jc w:val="center"/>
        <w:rPr>
          <w:rFonts w:asciiTheme="majorEastAsia" w:hAnsiTheme="majorEastAsia" w:eastAsiaTheme="majorEastAsia"/>
          <w:b/>
          <w:sz w:val="36"/>
          <w:szCs w:val="36"/>
        </w:rPr>
      </w:pPr>
    </w:p>
    <w:p>
      <w:pPr>
        <w:spacing w:line="520" w:lineRule="exact"/>
        <w:jc w:val="center"/>
        <w:rPr>
          <w:rFonts w:asciiTheme="majorEastAsia" w:hAnsiTheme="majorEastAsia" w:eastAsiaTheme="majorEastAsia"/>
          <w:b/>
          <w:sz w:val="36"/>
          <w:szCs w:val="36"/>
        </w:rPr>
      </w:pPr>
      <w:r>
        <w:rPr>
          <w:rFonts w:hint="eastAsia" w:asciiTheme="majorEastAsia" w:hAnsiTheme="majorEastAsia" w:eastAsiaTheme="majorEastAsia"/>
          <w:b/>
          <w:spacing w:val="-8"/>
          <w:sz w:val="36"/>
          <w:szCs w:val="36"/>
        </w:rPr>
        <w:t>省教育厅办公室关于做好全省社科界学习习近平总书记</w:t>
      </w:r>
      <w:r>
        <w:rPr>
          <w:rFonts w:hint="eastAsia" w:asciiTheme="majorEastAsia" w:hAnsiTheme="majorEastAsia" w:eastAsiaTheme="majorEastAsia"/>
          <w:b/>
          <w:sz w:val="36"/>
          <w:szCs w:val="36"/>
        </w:rPr>
        <w:t>全面深化改革重要思想理论研讨会论文征集工作的函</w:t>
      </w:r>
    </w:p>
    <w:p>
      <w:pPr>
        <w:spacing w:line="520" w:lineRule="exact"/>
      </w:pPr>
    </w:p>
    <w:p>
      <w:pPr>
        <w:spacing w:line="520" w:lineRule="exact"/>
        <w:rPr>
          <w:rFonts w:ascii="仿宋_GB2312" w:eastAsia="仿宋_GB2312"/>
          <w:sz w:val="32"/>
          <w:szCs w:val="32"/>
        </w:rPr>
      </w:pPr>
      <w:r>
        <w:rPr>
          <w:rFonts w:hint="eastAsia" w:ascii="仿宋_GB2312" w:eastAsia="仿宋_GB2312"/>
          <w:sz w:val="32"/>
          <w:szCs w:val="32"/>
        </w:rPr>
        <w:t>各高等学校：</w:t>
      </w:r>
    </w:p>
    <w:p>
      <w:pPr>
        <w:spacing w:line="580" w:lineRule="exact"/>
        <w:ind w:firstLine="640" w:firstLineChars="200"/>
        <w:rPr>
          <w:rFonts w:ascii="仿宋" w:hAnsi="仿宋" w:eastAsia="仿宋" w:cs="Times New Roman"/>
          <w:sz w:val="32"/>
          <w:szCs w:val="32"/>
        </w:rPr>
      </w:pPr>
      <w:r>
        <w:rPr>
          <w:rFonts w:ascii="仿宋" w:hAnsi="仿宋" w:eastAsia="仿宋"/>
          <w:sz w:val="32"/>
          <w:szCs w:val="32"/>
        </w:rPr>
        <w:t>为做好庆祝改革开放40周年主题宣传教育，按照年度宣传思想文化工作要点，</w:t>
      </w:r>
      <w:r>
        <w:rPr>
          <w:rFonts w:hint="eastAsia" w:ascii="仿宋" w:hAnsi="仿宋" w:eastAsia="仿宋"/>
          <w:sz w:val="32"/>
          <w:szCs w:val="32"/>
        </w:rPr>
        <w:t>省委宣传部</w:t>
      </w:r>
      <w:r>
        <w:rPr>
          <w:rFonts w:ascii="仿宋" w:hAnsi="仿宋" w:eastAsia="仿宋"/>
          <w:sz w:val="32"/>
          <w:szCs w:val="32"/>
        </w:rPr>
        <w:t>拟于今年5月召开全省社科界学习习近平总书记全面深化改革重要思想理论研讨会——纪念真理标准问题的讨论40周年。</w:t>
      </w:r>
      <w:r>
        <w:rPr>
          <w:rFonts w:ascii="仿宋" w:hAnsi="仿宋" w:eastAsia="仿宋" w:cs="Times New Roman"/>
          <w:sz w:val="32"/>
          <w:szCs w:val="32"/>
        </w:rPr>
        <w:t>现就</w:t>
      </w:r>
      <w:r>
        <w:rPr>
          <w:rFonts w:hint="eastAsia" w:ascii="仿宋" w:hAnsi="仿宋" w:eastAsia="仿宋" w:cs="Times New Roman"/>
          <w:sz w:val="32"/>
          <w:szCs w:val="32"/>
        </w:rPr>
        <w:t>省内高校的论文征集</w:t>
      </w:r>
      <w:r>
        <w:rPr>
          <w:rFonts w:ascii="仿宋" w:hAnsi="仿宋" w:eastAsia="仿宋" w:cs="Times New Roman"/>
          <w:sz w:val="32"/>
          <w:szCs w:val="32"/>
        </w:rPr>
        <w:t>有关事项通知如下</w:t>
      </w:r>
      <w:r>
        <w:rPr>
          <w:rFonts w:hint="eastAsia" w:ascii="仿宋" w:hAnsi="仿宋" w:eastAsia="仿宋" w:cs="Times New Roman"/>
          <w:sz w:val="32"/>
          <w:szCs w:val="32"/>
        </w:rPr>
        <w:t>。</w:t>
      </w:r>
    </w:p>
    <w:p>
      <w:pPr>
        <w:spacing w:line="600" w:lineRule="exact"/>
        <w:ind w:firstLine="640" w:firstLineChars="200"/>
        <w:rPr>
          <w:rFonts w:ascii="黑体" w:hAnsi="黑体" w:eastAsia="黑体"/>
          <w:sz w:val="32"/>
          <w:szCs w:val="32"/>
        </w:rPr>
      </w:pPr>
      <w:r>
        <w:rPr>
          <w:rFonts w:ascii="黑体" w:hAnsi="黑体" w:eastAsia="黑体"/>
          <w:sz w:val="32"/>
          <w:szCs w:val="32"/>
        </w:rPr>
        <w:t>一、会议主旨</w:t>
      </w:r>
    </w:p>
    <w:p>
      <w:pPr>
        <w:adjustRightInd w:val="0"/>
        <w:snapToGrid w:val="0"/>
        <w:spacing w:line="600" w:lineRule="exact"/>
        <w:ind w:firstLine="664" w:firstLineChars="200"/>
        <w:rPr>
          <w:rFonts w:ascii="仿宋" w:hAnsi="仿宋" w:eastAsia="仿宋"/>
          <w:spacing w:val="6"/>
          <w:sz w:val="32"/>
          <w:szCs w:val="32"/>
        </w:rPr>
      </w:pPr>
      <w:r>
        <w:rPr>
          <w:rFonts w:ascii="仿宋" w:hAnsi="仿宋" w:eastAsia="仿宋"/>
          <w:spacing w:val="6"/>
          <w:sz w:val="32"/>
          <w:szCs w:val="32"/>
        </w:rPr>
        <w:t>以纪念真理标准问题的讨论40周年为契机，深入学习研讨习近平总书记全面深化改革的重要思想，全面总结提炼改革开放40年来特别是党的十八大以来我省坚持党的思想路线，不断深化改革开放的成就、经验和启示，进一步把思想和行动统一到习近平新时代中国特色社会主义思想和党的十九大精神上来，树立高度理论自信和理论自觉，以思想再解放推动改革再深入，为高水平全面建成小康社会、开辟新时代中国特色社会主义在江苏实践的新境界提供理论支撑和智力支持。</w:t>
      </w:r>
    </w:p>
    <w:p>
      <w:pPr>
        <w:adjustRightInd w:val="0"/>
        <w:snapToGrid w:val="0"/>
        <w:spacing w:line="600" w:lineRule="exact"/>
        <w:ind w:firstLine="640" w:firstLineChars="200"/>
        <w:rPr>
          <w:rFonts w:ascii="黑体" w:hAnsi="黑体" w:eastAsia="黑体"/>
          <w:bCs/>
          <w:kern w:val="0"/>
          <w:sz w:val="32"/>
          <w:szCs w:val="32"/>
        </w:rPr>
      </w:pPr>
      <w:r>
        <w:rPr>
          <w:rFonts w:ascii="黑体" w:hAnsi="黑体" w:eastAsia="黑体"/>
          <w:sz w:val="32"/>
          <w:szCs w:val="32"/>
        </w:rPr>
        <w:t>二、选题</w:t>
      </w:r>
      <w:r>
        <w:rPr>
          <w:rFonts w:ascii="黑体" w:hAnsi="黑体" w:eastAsia="黑体"/>
          <w:bCs/>
          <w:kern w:val="0"/>
          <w:sz w:val="32"/>
          <w:szCs w:val="32"/>
        </w:rPr>
        <w:t>方向</w:t>
      </w:r>
    </w:p>
    <w:p>
      <w:pPr>
        <w:spacing w:line="6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习近平总书记全面深化改革重要思想的丰富内涵</w:t>
      </w:r>
    </w:p>
    <w:p>
      <w:pPr>
        <w:spacing w:line="6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习近平总书记全面深化改革重要思想的内在逻辑</w:t>
      </w:r>
    </w:p>
    <w:p>
      <w:pPr>
        <w:spacing w:line="6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习近平总书记全面深化改革重要思想的哲学依据</w:t>
      </w:r>
    </w:p>
    <w:p>
      <w:pPr>
        <w:spacing w:line="6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习近平总书记全面深化改革重要思想的实践基础</w:t>
      </w:r>
    </w:p>
    <w:p>
      <w:pPr>
        <w:spacing w:line="6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习近平总书记全面深化改革重要思想的人民立场</w:t>
      </w:r>
    </w:p>
    <w:p>
      <w:pPr>
        <w:spacing w:line="600" w:lineRule="exact"/>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习近平总书记全面深化改革重要思想的方法论价值</w:t>
      </w:r>
    </w:p>
    <w:p>
      <w:pPr>
        <w:spacing w:line="60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w:t>
      </w:r>
      <w:r>
        <w:rPr>
          <w:rFonts w:ascii="仿宋" w:hAnsi="仿宋" w:eastAsia="仿宋"/>
          <w:sz w:val="32"/>
          <w:szCs w:val="32"/>
        </w:rPr>
        <w:t>习近平总书记在推进新时代改革开放中的决定性作用</w:t>
      </w:r>
    </w:p>
    <w:p>
      <w:pPr>
        <w:spacing w:line="600" w:lineRule="exact"/>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w:t>
      </w:r>
      <w:r>
        <w:rPr>
          <w:rFonts w:ascii="仿宋" w:hAnsi="仿宋" w:eastAsia="仿宋"/>
          <w:sz w:val="32"/>
          <w:szCs w:val="32"/>
        </w:rPr>
        <w:t>新时代推进全面深化改革的重大意义、目标任务和战略举措</w:t>
      </w:r>
    </w:p>
    <w:p>
      <w:pPr>
        <w:spacing w:line="600" w:lineRule="exact"/>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.以</w:t>
      </w:r>
      <w:r>
        <w:rPr>
          <w:rFonts w:ascii="仿宋" w:hAnsi="仿宋" w:eastAsia="仿宋"/>
          <w:sz w:val="32"/>
          <w:szCs w:val="32"/>
        </w:rPr>
        <w:t>系统化思维高质量推进江苏全面深化改革</w:t>
      </w:r>
    </w:p>
    <w:p>
      <w:pPr>
        <w:spacing w:line="600" w:lineRule="exact"/>
        <w:ind w:firstLine="640" w:firstLineChars="200"/>
        <w:rPr>
          <w:rFonts w:ascii="仿宋" w:hAnsi="仿宋" w:eastAsia="仿宋"/>
          <w:sz w:val="32"/>
          <w:szCs w:val="32"/>
        </w:rPr>
      </w:pPr>
      <w:r>
        <w:rPr>
          <w:rFonts w:ascii="仿宋" w:hAnsi="仿宋" w:eastAsia="仿宋"/>
          <w:sz w:val="32"/>
          <w:szCs w:val="32"/>
        </w:rPr>
        <w:t>以上选题供参考，可根据研讨会主题自定题目。</w:t>
      </w:r>
    </w:p>
    <w:p>
      <w:pPr>
        <w:adjustRightInd w:val="0"/>
        <w:snapToGrid w:val="0"/>
        <w:spacing w:line="600" w:lineRule="exact"/>
        <w:ind w:firstLine="640" w:firstLineChars="200"/>
        <w:rPr>
          <w:rFonts w:ascii="黑体" w:hAnsi="黑体" w:eastAsia="黑体"/>
          <w:sz w:val="32"/>
          <w:szCs w:val="32"/>
        </w:rPr>
      </w:pPr>
      <w:r>
        <w:rPr>
          <w:rFonts w:ascii="黑体" w:hAnsi="黑体" w:eastAsia="黑体"/>
          <w:bCs/>
          <w:kern w:val="0"/>
          <w:sz w:val="32"/>
          <w:szCs w:val="32"/>
        </w:rPr>
        <w:t>三、论文要求</w:t>
      </w:r>
    </w:p>
    <w:p>
      <w:pPr>
        <w:adjustRightInd w:val="0"/>
        <w:snapToGrid w:val="0"/>
        <w:spacing w:line="600" w:lineRule="exact"/>
        <w:ind w:firstLine="640" w:firstLineChars="200"/>
        <w:rPr>
          <w:rFonts w:ascii="仿宋" w:hAnsi="仿宋" w:eastAsia="仿宋"/>
          <w:bCs/>
          <w:kern w:val="0"/>
          <w:sz w:val="32"/>
          <w:szCs w:val="32"/>
        </w:rPr>
      </w:pPr>
      <w:r>
        <w:rPr>
          <w:rFonts w:ascii="仿宋" w:hAnsi="仿宋" w:eastAsia="仿宋"/>
          <w:kern w:val="0"/>
          <w:sz w:val="32"/>
          <w:szCs w:val="32"/>
        </w:rPr>
        <w:t>1</w:t>
      </w:r>
      <w:r>
        <w:rPr>
          <w:rFonts w:hint="eastAsia" w:ascii="仿宋" w:hAnsi="仿宋" w:eastAsia="仿宋"/>
          <w:kern w:val="0"/>
          <w:sz w:val="32"/>
          <w:szCs w:val="32"/>
        </w:rPr>
        <w:t>.</w:t>
      </w:r>
      <w:r>
        <w:rPr>
          <w:rFonts w:ascii="仿宋" w:hAnsi="仿宋" w:eastAsia="仿宋"/>
          <w:kern w:val="0"/>
          <w:sz w:val="32"/>
          <w:szCs w:val="32"/>
        </w:rPr>
        <w:t>坚持正确的政治方向，主题鲜明，观点准确。</w:t>
      </w:r>
    </w:p>
    <w:p>
      <w:pPr>
        <w:adjustRightInd w:val="0"/>
        <w:snapToGrid w:val="0"/>
        <w:spacing w:line="600" w:lineRule="exact"/>
        <w:ind w:firstLine="640" w:firstLineChars="200"/>
        <w:rPr>
          <w:rFonts w:ascii="仿宋" w:hAnsi="仿宋" w:eastAsia="仿宋"/>
          <w:kern w:val="0"/>
          <w:sz w:val="32"/>
          <w:szCs w:val="32"/>
        </w:rPr>
      </w:pPr>
      <w:r>
        <w:rPr>
          <w:rFonts w:ascii="仿宋" w:hAnsi="仿宋" w:eastAsia="仿宋"/>
          <w:kern w:val="0"/>
          <w:sz w:val="32"/>
          <w:szCs w:val="32"/>
        </w:rPr>
        <w:t>2</w:t>
      </w:r>
      <w:r>
        <w:rPr>
          <w:rFonts w:hint="eastAsia" w:ascii="仿宋" w:hAnsi="仿宋" w:eastAsia="仿宋"/>
          <w:kern w:val="0"/>
          <w:sz w:val="32"/>
          <w:szCs w:val="32"/>
        </w:rPr>
        <w:t>.</w:t>
      </w:r>
      <w:r>
        <w:rPr>
          <w:rFonts w:ascii="仿宋" w:hAnsi="仿宋" w:eastAsia="仿宋"/>
          <w:kern w:val="0"/>
          <w:sz w:val="32"/>
          <w:szCs w:val="32"/>
        </w:rPr>
        <w:t>坚持理论联系实际，历史和现实结合，体现理论价值和实践指导意义。</w:t>
      </w:r>
    </w:p>
    <w:p>
      <w:pPr>
        <w:adjustRightInd w:val="0"/>
        <w:snapToGrid w:val="0"/>
        <w:spacing w:line="6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ascii="仿宋" w:hAnsi="仿宋" w:eastAsia="仿宋"/>
          <w:sz w:val="32"/>
          <w:szCs w:val="32"/>
        </w:rPr>
        <w:t>应征文章须未在公开媒体发表过，符合学术规范，字数不超过8000字（含注释），附500字以内的内容提要（文章格式要求参见附件）。</w:t>
      </w:r>
    </w:p>
    <w:p>
      <w:pPr>
        <w:adjustRightInd w:val="0"/>
        <w:snapToGrid w:val="0"/>
        <w:spacing w:line="600" w:lineRule="exact"/>
        <w:ind w:firstLine="640" w:firstLineChars="200"/>
        <w:rPr>
          <w:rFonts w:ascii="黑体" w:hAnsi="黑体" w:eastAsia="黑体"/>
          <w:bCs/>
          <w:kern w:val="0"/>
          <w:sz w:val="32"/>
          <w:szCs w:val="32"/>
        </w:rPr>
      </w:pPr>
      <w:r>
        <w:rPr>
          <w:rFonts w:ascii="黑体" w:hAnsi="黑体" w:eastAsia="黑体"/>
          <w:bCs/>
          <w:kern w:val="0"/>
          <w:sz w:val="32"/>
          <w:szCs w:val="32"/>
        </w:rPr>
        <w:t>四、相关事项</w:t>
      </w:r>
    </w:p>
    <w:p>
      <w:pPr>
        <w:adjustRightInd w:val="0"/>
        <w:snapToGrid w:val="0"/>
        <w:spacing w:line="600" w:lineRule="exact"/>
        <w:ind w:firstLine="640" w:firstLineChars="200"/>
        <w:rPr>
          <w:rFonts w:ascii="仿宋" w:hAnsi="仿宋" w:eastAsia="仿宋"/>
          <w:kern w:val="0"/>
          <w:sz w:val="32"/>
          <w:szCs w:val="32"/>
        </w:rPr>
      </w:pPr>
      <w:r>
        <w:rPr>
          <w:rFonts w:ascii="仿宋" w:hAnsi="仿宋" w:eastAsia="仿宋"/>
          <w:kern w:val="0"/>
          <w:sz w:val="32"/>
          <w:szCs w:val="32"/>
        </w:rPr>
        <w:t>1</w:t>
      </w:r>
      <w:r>
        <w:rPr>
          <w:rFonts w:hint="eastAsia" w:ascii="仿宋" w:hAnsi="仿宋" w:eastAsia="仿宋"/>
          <w:kern w:val="0"/>
          <w:sz w:val="32"/>
          <w:szCs w:val="32"/>
        </w:rPr>
        <w:t>.</w:t>
      </w:r>
      <w:r>
        <w:rPr>
          <w:rFonts w:ascii="仿宋" w:hAnsi="仿宋" w:eastAsia="仿宋"/>
          <w:kern w:val="0"/>
          <w:sz w:val="32"/>
          <w:szCs w:val="32"/>
        </w:rPr>
        <w:t>请</w:t>
      </w:r>
      <w:r>
        <w:rPr>
          <w:rFonts w:hint="eastAsia" w:ascii="仿宋" w:hAnsi="仿宋" w:eastAsia="仿宋"/>
          <w:kern w:val="0"/>
          <w:sz w:val="32"/>
          <w:szCs w:val="32"/>
        </w:rPr>
        <w:t>各高校</w:t>
      </w:r>
      <w:r>
        <w:rPr>
          <w:rFonts w:ascii="仿宋" w:hAnsi="仿宋" w:eastAsia="仿宋"/>
          <w:kern w:val="0"/>
          <w:sz w:val="32"/>
          <w:szCs w:val="32"/>
        </w:rPr>
        <w:t>抓紧征集，重点组织，择优</w:t>
      </w:r>
      <w:r>
        <w:rPr>
          <w:rFonts w:hint="eastAsia" w:ascii="仿宋" w:hAnsi="仿宋" w:eastAsia="仿宋"/>
          <w:kern w:val="0"/>
          <w:sz w:val="32"/>
          <w:szCs w:val="32"/>
        </w:rPr>
        <w:t>报送。</w:t>
      </w:r>
      <w:r>
        <w:rPr>
          <w:rFonts w:ascii="仿宋" w:hAnsi="仿宋" w:eastAsia="仿宋"/>
          <w:kern w:val="0"/>
          <w:sz w:val="32"/>
          <w:szCs w:val="32"/>
        </w:rPr>
        <w:t>2018年4月</w:t>
      </w:r>
      <w:r>
        <w:rPr>
          <w:rFonts w:hint="eastAsia" w:ascii="仿宋" w:hAnsi="仿宋" w:eastAsia="仿宋"/>
          <w:kern w:val="0"/>
          <w:sz w:val="32"/>
          <w:szCs w:val="32"/>
        </w:rPr>
        <w:t>20</w:t>
      </w:r>
      <w:r>
        <w:rPr>
          <w:rFonts w:ascii="仿宋" w:hAnsi="仿宋" w:eastAsia="仿宋"/>
          <w:kern w:val="0"/>
          <w:sz w:val="32"/>
          <w:szCs w:val="32"/>
        </w:rPr>
        <w:t>日</w:t>
      </w:r>
      <w:r>
        <w:rPr>
          <w:rFonts w:hint="eastAsia" w:ascii="仿宋" w:hAnsi="仿宋" w:eastAsia="仿宋"/>
          <w:kern w:val="0"/>
          <w:sz w:val="32"/>
          <w:szCs w:val="32"/>
        </w:rPr>
        <w:t>前</w:t>
      </w:r>
      <w:r>
        <w:rPr>
          <w:rFonts w:ascii="仿宋" w:hAnsi="仿宋" w:eastAsia="仿宋"/>
          <w:kern w:val="0"/>
          <w:sz w:val="32"/>
          <w:szCs w:val="32"/>
        </w:rPr>
        <w:t>以电子稿形式</w:t>
      </w:r>
      <w:r>
        <w:rPr>
          <w:rFonts w:hint="eastAsia" w:ascii="仿宋" w:hAnsi="仿宋" w:eastAsia="仿宋"/>
          <w:kern w:val="0"/>
          <w:sz w:val="32"/>
          <w:szCs w:val="32"/>
        </w:rPr>
        <w:t>将征文和《论文推荐登记表》一并</w:t>
      </w:r>
      <w:r>
        <w:rPr>
          <w:rFonts w:ascii="仿宋" w:hAnsi="仿宋" w:eastAsia="仿宋"/>
          <w:kern w:val="0"/>
          <w:sz w:val="32"/>
          <w:szCs w:val="32"/>
        </w:rPr>
        <w:t>报送省</w:t>
      </w:r>
      <w:r>
        <w:rPr>
          <w:rFonts w:hint="eastAsia" w:ascii="仿宋" w:hAnsi="仿宋" w:eastAsia="仿宋"/>
          <w:kern w:val="0"/>
          <w:sz w:val="32"/>
          <w:szCs w:val="32"/>
        </w:rPr>
        <w:t>教育厅社政处</w:t>
      </w:r>
      <w:r>
        <w:rPr>
          <w:rFonts w:ascii="仿宋" w:hAnsi="仿宋" w:eastAsia="仿宋"/>
          <w:kern w:val="0"/>
          <w:sz w:val="32"/>
          <w:szCs w:val="32"/>
        </w:rPr>
        <w:t>（注明“全省社科界学习习近平总书记全面深化改革重要思想暨纪念真理标准问题的讨论40周年理论研讨会”征文）。</w:t>
      </w:r>
      <w:r>
        <w:rPr>
          <w:rFonts w:hint="eastAsia" w:ascii="仿宋" w:hAnsi="仿宋" w:eastAsia="仿宋"/>
          <w:kern w:val="0"/>
          <w:sz w:val="32"/>
          <w:szCs w:val="32"/>
        </w:rPr>
        <w:t>逾期不予受理。</w:t>
      </w:r>
    </w:p>
    <w:p>
      <w:pPr>
        <w:adjustRightInd w:val="0"/>
        <w:snapToGrid w:val="0"/>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2.</w:t>
      </w:r>
      <w:r>
        <w:rPr>
          <w:rFonts w:ascii="仿宋" w:hAnsi="仿宋" w:eastAsia="仿宋"/>
          <w:kern w:val="0"/>
          <w:sz w:val="32"/>
          <w:szCs w:val="32"/>
        </w:rPr>
        <w:t>征集文章经评审，择优入选研讨会并编入论文集，同时推荐在新华日报、群众杂志等媒体刊发。</w:t>
      </w:r>
    </w:p>
    <w:p>
      <w:pPr>
        <w:adjustRightInd w:val="0"/>
        <w:snapToGrid w:val="0"/>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3.</w:t>
      </w:r>
      <w:r>
        <w:rPr>
          <w:rFonts w:ascii="仿宋" w:hAnsi="仿宋" w:eastAsia="仿宋"/>
          <w:kern w:val="0"/>
          <w:sz w:val="32"/>
          <w:szCs w:val="32"/>
        </w:rPr>
        <w:t>联系电话：025-8</w:t>
      </w:r>
      <w:r>
        <w:rPr>
          <w:rFonts w:hint="eastAsia" w:ascii="仿宋" w:hAnsi="仿宋" w:eastAsia="仿宋"/>
          <w:kern w:val="0"/>
          <w:sz w:val="32"/>
          <w:szCs w:val="32"/>
        </w:rPr>
        <w:t>3335056</w:t>
      </w:r>
      <w:r>
        <w:rPr>
          <w:rFonts w:ascii="仿宋" w:hAnsi="仿宋" w:eastAsia="仿宋"/>
          <w:kern w:val="0"/>
          <w:sz w:val="32"/>
          <w:szCs w:val="32"/>
        </w:rPr>
        <w:t>、8</w:t>
      </w:r>
      <w:r>
        <w:rPr>
          <w:rFonts w:hint="eastAsia" w:ascii="仿宋" w:hAnsi="仿宋" w:eastAsia="仿宋"/>
          <w:kern w:val="0"/>
          <w:sz w:val="32"/>
          <w:szCs w:val="32"/>
        </w:rPr>
        <w:t>3335363</w:t>
      </w:r>
      <w:r>
        <w:rPr>
          <w:rFonts w:ascii="仿宋" w:hAnsi="仿宋" w:eastAsia="仿宋"/>
          <w:kern w:val="0"/>
          <w:sz w:val="32"/>
          <w:szCs w:val="32"/>
        </w:rPr>
        <w:t>，电子邮箱</w:t>
      </w:r>
      <w:r>
        <w:rPr>
          <w:rFonts w:hint="eastAsia" w:ascii="仿宋" w:hAnsi="仿宋" w:eastAsia="仿宋"/>
          <w:kern w:val="0"/>
          <w:sz w:val="32"/>
          <w:szCs w:val="32"/>
        </w:rPr>
        <w:t>:szcjd@ec.js.edu.cn</w:t>
      </w:r>
      <w:r>
        <w:rPr>
          <w:rFonts w:ascii="仿宋" w:hAnsi="仿宋" w:eastAsia="仿宋"/>
          <w:kern w:val="0"/>
          <w:sz w:val="32"/>
          <w:szCs w:val="32"/>
        </w:rPr>
        <w:t>。</w:t>
      </w:r>
    </w:p>
    <w:p>
      <w:pPr>
        <w:adjustRightInd w:val="0"/>
        <w:snapToGrid w:val="0"/>
        <w:spacing w:line="600" w:lineRule="exact"/>
        <w:ind w:firstLine="640" w:firstLineChars="200"/>
        <w:rPr>
          <w:rFonts w:ascii="仿宋" w:hAnsi="仿宋" w:eastAsia="仿宋"/>
          <w:kern w:val="0"/>
          <w:sz w:val="32"/>
          <w:szCs w:val="32"/>
        </w:rPr>
      </w:pPr>
    </w:p>
    <w:p>
      <w:pPr>
        <w:spacing w:line="520" w:lineRule="exact"/>
        <w:ind w:firstLine="645"/>
        <w:rPr>
          <w:rFonts w:ascii="仿宋" w:hAnsi="仿宋" w:eastAsia="仿宋"/>
          <w:sz w:val="32"/>
          <w:szCs w:val="32"/>
        </w:rPr>
      </w:pPr>
      <w:r>
        <w:rPr>
          <w:rFonts w:ascii="仿宋" w:hAnsi="仿宋" w:eastAsia="仿宋"/>
          <w:kern w:val="0"/>
          <w:sz w:val="32"/>
          <w:szCs w:val="32"/>
        </w:rPr>
        <w:t>附件：</w:t>
      </w:r>
      <w:r>
        <w:rPr>
          <w:rFonts w:hint="eastAsia" w:ascii="仿宋" w:hAnsi="仿宋" w:eastAsia="仿宋"/>
          <w:kern w:val="0"/>
          <w:sz w:val="32"/>
          <w:szCs w:val="32"/>
        </w:rPr>
        <w:t>1.</w:t>
      </w:r>
      <w:r>
        <w:rPr>
          <w:rFonts w:ascii="仿宋" w:hAnsi="仿宋" w:eastAsia="仿宋"/>
          <w:sz w:val="32"/>
          <w:szCs w:val="32"/>
        </w:rPr>
        <w:t>文章格式要求</w:t>
      </w:r>
    </w:p>
    <w:p>
      <w:pPr>
        <w:spacing w:line="520" w:lineRule="exact"/>
        <w:ind w:firstLine="645"/>
        <w:rPr>
          <w:rFonts w:ascii="仿宋" w:hAnsi="仿宋" w:eastAsia="仿宋"/>
          <w:sz w:val="32"/>
          <w:szCs w:val="32"/>
        </w:rPr>
      </w:pPr>
      <w:r>
        <w:rPr>
          <w:rFonts w:hint="eastAsia" w:ascii="仿宋" w:hAnsi="仿宋" w:eastAsia="仿宋"/>
          <w:sz w:val="32"/>
          <w:szCs w:val="32"/>
        </w:rPr>
        <w:t xml:space="preserve">      2.文章格式样本</w:t>
      </w:r>
    </w:p>
    <w:p>
      <w:pPr>
        <w:spacing w:line="520" w:lineRule="exact"/>
        <w:ind w:firstLine="645"/>
        <w:rPr>
          <w:rFonts w:ascii="仿宋" w:hAnsi="仿宋" w:eastAsia="仿宋"/>
          <w:sz w:val="32"/>
          <w:szCs w:val="32"/>
        </w:rPr>
      </w:pPr>
      <w:r>
        <w:rPr>
          <w:rFonts w:hint="eastAsia" w:ascii="仿宋" w:hAnsi="仿宋" w:eastAsia="仿宋"/>
          <w:sz w:val="32"/>
          <w:szCs w:val="32"/>
        </w:rPr>
        <w:t xml:space="preserve">      3.论文推荐登记表</w:t>
      </w:r>
    </w:p>
    <w:p>
      <w:pPr>
        <w:spacing w:line="520" w:lineRule="exact"/>
        <w:ind w:firstLine="645"/>
        <w:rPr>
          <w:rFonts w:ascii="仿宋" w:hAnsi="仿宋" w:eastAsia="仿宋"/>
          <w:sz w:val="32"/>
          <w:szCs w:val="32"/>
        </w:rPr>
      </w:pPr>
    </w:p>
    <w:p>
      <w:pPr>
        <w:spacing w:line="520" w:lineRule="exact"/>
        <w:ind w:firstLine="645"/>
        <w:rPr>
          <w:rFonts w:ascii="仿宋" w:hAnsi="仿宋" w:eastAsia="仿宋"/>
          <w:sz w:val="32"/>
          <w:szCs w:val="32"/>
        </w:rPr>
      </w:pPr>
    </w:p>
    <w:p>
      <w:pPr>
        <w:spacing w:line="520" w:lineRule="exact"/>
        <w:ind w:firstLine="645"/>
        <w:rPr>
          <w:rFonts w:ascii="仿宋_GB2312" w:eastAsia="仿宋_GB2312"/>
          <w:sz w:val="32"/>
          <w:szCs w:val="32"/>
        </w:rPr>
      </w:pPr>
      <w:r>
        <w:rPr>
          <w:rFonts w:hint="eastAsia" w:ascii="仿宋_GB2312" w:eastAsia="仿宋_GB2312"/>
          <w:sz w:val="32"/>
          <w:szCs w:val="32"/>
        </w:rPr>
        <w:t xml:space="preserve">                            省教育厅办公室</w:t>
      </w:r>
    </w:p>
    <w:p>
      <w:pPr>
        <w:spacing w:line="520" w:lineRule="exact"/>
        <w:ind w:firstLine="5120" w:firstLineChars="1600"/>
        <w:rPr>
          <w:rFonts w:ascii="仿宋_GB2312" w:eastAsia="仿宋_GB2312"/>
          <w:sz w:val="32"/>
          <w:szCs w:val="32"/>
        </w:rPr>
      </w:pPr>
      <w:r>
        <w:rPr>
          <w:rFonts w:hint="eastAsia" w:ascii="仿宋_GB2312" w:eastAsia="仿宋_GB2312"/>
          <w:sz w:val="32"/>
          <w:szCs w:val="32"/>
        </w:rPr>
        <w:t>2018年3月16日</w:t>
      </w: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520" w:lineRule="exact"/>
        <w:rPr>
          <w:rFonts w:ascii="仿宋_GB2312" w:eastAsia="仿宋_GB2312"/>
          <w:sz w:val="32"/>
          <w:szCs w:val="32"/>
        </w:rPr>
      </w:pPr>
    </w:p>
    <w:p>
      <w:pPr>
        <w:spacing w:line="600" w:lineRule="exact"/>
        <w:rPr>
          <w:rFonts w:ascii="黑体" w:hAnsi="黑体" w:eastAsia="黑体"/>
          <w:sz w:val="32"/>
          <w:szCs w:val="32"/>
        </w:rPr>
      </w:pPr>
      <w:r>
        <w:rPr>
          <w:rFonts w:hint="eastAsia" w:ascii="黑体" w:hAnsi="黑体" w:eastAsia="黑体"/>
          <w:sz w:val="32"/>
          <w:szCs w:val="32"/>
        </w:rPr>
        <w:t>附件1</w:t>
      </w:r>
    </w:p>
    <w:p>
      <w:pPr>
        <w:spacing w:line="600" w:lineRule="exact"/>
        <w:rPr>
          <w:rFonts w:ascii="仿宋_GB2312" w:eastAsia="仿宋_GB2312"/>
          <w:sz w:val="32"/>
          <w:szCs w:val="32"/>
        </w:rPr>
      </w:pPr>
    </w:p>
    <w:p>
      <w:pPr>
        <w:spacing w:line="600" w:lineRule="exact"/>
        <w:jc w:val="center"/>
        <w:rPr>
          <w:rFonts w:ascii="方正小标宋_GBK" w:hAnsi="华文中宋" w:eastAsia="方正小标宋_GBK"/>
          <w:sz w:val="44"/>
          <w:szCs w:val="44"/>
        </w:rPr>
      </w:pPr>
      <w:r>
        <w:rPr>
          <w:rFonts w:hint="eastAsia" w:ascii="方正小标宋_GBK" w:hAnsi="华文中宋" w:eastAsia="方正小标宋_GBK"/>
          <w:sz w:val="44"/>
          <w:szCs w:val="44"/>
        </w:rPr>
        <w:t>文章格式要求</w:t>
      </w:r>
    </w:p>
    <w:p>
      <w:pPr>
        <w:spacing w:line="600" w:lineRule="exact"/>
        <w:rPr>
          <w:rFonts w:ascii="仿宋_GB2312" w:eastAsia="仿宋_GB2312"/>
          <w:sz w:val="32"/>
          <w:szCs w:val="32"/>
        </w:rPr>
      </w:pPr>
    </w:p>
    <w:p>
      <w:pPr>
        <w:spacing w:line="600" w:lineRule="exact"/>
        <w:ind w:firstLine="640" w:firstLineChars="200"/>
        <w:rPr>
          <w:rFonts w:ascii="仿宋" w:hAnsi="仿宋" w:eastAsia="仿宋"/>
          <w:sz w:val="32"/>
          <w:szCs w:val="32"/>
        </w:rPr>
      </w:pPr>
      <w:r>
        <w:rPr>
          <w:rFonts w:ascii="仿宋" w:hAnsi="仿宋" w:eastAsia="仿宋"/>
          <w:sz w:val="32"/>
          <w:szCs w:val="32"/>
        </w:rPr>
        <w:t>一、文章字体要求：文章标题使用小二号黑体字（加粗），作者姓名使用三号楷体字，内容提要使用小三号楷体字，正文使用四号宋体字，作者简介使用四号楷体字。</w:t>
      </w:r>
    </w:p>
    <w:p>
      <w:pPr>
        <w:spacing w:line="600" w:lineRule="exact"/>
        <w:ind w:firstLine="640" w:firstLineChars="200"/>
        <w:rPr>
          <w:rFonts w:ascii="仿宋" w:hAnsi="仿宋" w:eastAsia="仿宋"/>
          <w:sz w:val="32"/>
          <w:szCs w:val="32"/>
        </w:rPr>
      </w:pPr>
      <w:r>
        <w:rPr>
          <w:rFonts w:ascii="仿宋" w:hAnsi="仿宋" w:eastAsia="仿宋"/>
          <w:sz w:val="32"/>
          <w:szCs w:val="32"/>
        </w:rPr>
        <w:t>二、行间距统一使用单倍行距。</w:t>
      </w:r>
    </w:p>
    <w:p>
      <w:pPr>
        <w:spacing w:line="600" w:lineRule="exact"/>
        <w:ind w:firstLine="640" w:firstLineChars="200"/>
        <w:rPr>
          <w:rFonts w:ascii="仿宋" w:hAnsi="仿宋" w:eastAsia="仿宋"/>
          <w:sz w:val="32"/>
          <w:szCs w:val="32"/>
        </w:rPr>
      </w:pPr>
      <w:r>
        <w:rPr>
          <w:rFonts w:ascii="仿宋" w:hAnsi="仿宋" w:eastAsia="仿宋"/>
          <w:sz w:val="32"/>
          <w:szCs w:val="32"/>
        </w:rPr>
        <w:t>三、注释统一要求为页下注。出处为著作的要依次注明著作名、卷次、出版社、出版年份和所在页码；出处为期刊的要依次注明作者名、文章名、刊载期刊名、出版年和期号；出处为报纸的要依次注明作者名、文章名、刊载报纸名和出版年月日。</w:t>
      </w:r>
    </w:p>
    <w:p>
      <w:pPr>
        <w:spacing w:line="600" w:lineRule="exact"/>
        <w:ind w:firstLine="640" w:firstLineChars="200"/>
        <w:rPr>
          <w:rFonts w:ascii="仿宋" w:hAnsi="仿宋" w:eastAsia="仿宋"/>
          <w:sz w:val="32"/>
          <w:szCs w:val="32"/>
        </w:rPr>
      </w:pPr>
      <w:r>
        <w:rPr>
          <w:rFonts w:ascii="仿宋" w:hAnsi="仿宋" w:eastAsia="仿宋"/>
          <w:sz w:val="32"/>
          <w:szCs w:val="32"/>
        </w:rPr>
        <w:t>四、版式要求：A4纸版式、默认页边距、页码居中、首页有页码。首页内容包括论文标题、作者姓名、内容提要，正文从第二页起，作者简介附在文末。</w:t>
      </w:r>
    </w:p>
    <w:p>
      <w:pPr>
        <w:spacing w:line="600" w:lineRule="exact"/>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ascii="仿宋_GB2312" w:eastAsia="仿宋_GB2312"/>
          <w:sz w:val="32"/>
          <w:szCs w:val="32"/>
        </w:rPr>
        <w:br w:type="page"/>
      </w:r>
    </w:p>
    <w:p>
      <w:pPr>
        <w:rPr>
          <w:rFonts w:ascii="黑体" w:hAnsi="黑体" w:eastAsia="黑体"/>
          <w:sz w:val="32"/>
          <w:szCs w:val="32"/>
        </w:rPr>
      </w:pPr>
      <w:r>
        <w:rPr>
          <w:rFonts w:hint="eastAsia" w:ascii="黑体" w:hAnsi="黑体" w:eastAsia="黑体"/>
          <w:sz w:val="32"/>
          <w:szCs w:val="32"/>
        </w:rPr>
        <w:t>附件2</w:t>
      </w:r>
    </w:p>
    <w:p>
      <w:pPr>
        <w:rPr>
          <w:rFonts w:ascii="方正仿宋_GBK" w:hAnsi="宋体" w:eastAsia="方正仿宋_GBK"/>
          <w:sz w:val="32"/>
          <w:szCs w:val="32"/>
        </w:rPr>
      </w:pPr>
    </w:p>
    <w:p>
      <w:pPr>
        <w:rPr>
          <w:rFonts w:ascii="方正仿宋_GBK" w:hAnsi="宋体" w:eastAsia="方正仿宋_GBK"/>
          <w:sz w:val="32"/>
          <w:szCs w:val="32"/>
        </w:rPr>
      </w:pPr>
      <w:r>
        <w:rPr>
          <w:rFonts w:hint="eastAsia" w:ascii="方正仿宋_GBK" w:hAnsi="宋体" w:eastAsia="方正仿宋_GBK"/>
          <w:sz w:val="32"/>
          <w:szCs w:val="32"/>
        </w:rPr>
        <w:t>文章格式样本：</w:t>
      </w:r>
    </w:p>
    <w:p>
      <w:pPr>
        <w:spacing w:line="400" w:lineRule="exact"/>
        <w:rPr>
          <w:rFonts w:ascii="仿宋_GB2312" w:hAnsi="宋体" w:eastAsia="仿宋_GB2312"/>
          <w:sz w:val="32"/>
          <w:szCs w:val="32"/>
        </w:rPr>
      </w:pPr>
    </w:p>
    <w:p>
      <w:pPr>
        <w:jc w:val="center"/>
        <w:rPr>
          <w:rFonts w:ascii="黑体" w:eastAsia="黑体"/>
          <w:b/>
          <w:sz w:val="36"/>
          <w:szCs w:val="36"/>
        </w:rPr>
      </w:pPr>
      <w:r>
        <w:rPr>
          <w:rFonts w:hint="eastAsia" w:ascii="黑体" w:eastAsia="黑体"/>
          <w:b/>
          <w:sz w:val="36"/>
          <w:szCs w:val="36"/>
        </w:rPr>
        <w:t>坚持全面正确的历史观</w:t>
      </w:r>
    </w:p>
    <w:p>
      <w:pPr>
        <w:jc w:val="center"/>
        <w:rPr>
          <w:rFonts w:ascii="楷体_GB2312" w:eastAsia="楷体_GB2312"/>
          <w:sz w:val="32"/>
          <w:szCs w:val="32"/>
        </w:rPr>
      </w:pPr>
      <w:r>
        <w:rPr>
          <w:rFonts w:hint="eastAsia" w:ascii="楷体_GB2312" w:eastAsia="楷体_GB2312"/>
          <w:sz w:val="32"/>
          <w:szCs w:val="32"/>
        </w:rPr>
        <w:t>李明</w:t>
      </w:r>
    </w:p>
    <w:p>
      <w:pPr>
        <w:spacing w:line="560" w:lineRule="exact"/>
        <w:ind w:firstLine="600" w:firstLineChars="200"/>
        <w:rPr>
          <w:rFonts w:ascii="楷体_GB2312" w:eastAsia="楷体_GB2312"/>
          <w:sz w:val="30"/>
          <w:szCs w:val="30"/>
        </w:rPr>
      </w:pPr>
      <w:r>
        <w:rPr>
          <w:rFonts w:hint="eastAsia" w:ascii="楷体_GB2312" w:eastAsia="楷体_GB2312"/>
          <w:sz w:val="30"/>
          <w:szCs w:val="30"/>
        </w:rPr>
        <w:t>内容提要：坚持全面正确的历史观，对于我们的学习和研究有着重要的指导作用。本文拟从以下几个方面对此进行阐述……</w:t>
      </w:r>
    </w:p>
    <w:p>
      <w:pPr>
        <w:spacing w:line="560" w:lineRule="exact"/>
        <w:ind w:firstLine="600" w:firstLineChars="200"/>
        <w:rPr>
          <w:rFonts w:ascii="仿宋_GB2312" w:eastAsia="仿宋_GB2312"/>
          <w:sz w:val="30"/>
          <w:szCs w:val="30"/>
        </w:rPr>
      </w:pPr>
    </w:p>
    <w:p>
      <w:pPr>
        <w:spacing w:line="560" w:lineRule="exact"/>
        <w:rPr>
          <w:rFonts w:ascii="Times New Roman" w:hAnsi="Times New Roman"/>
          <w:sz w:val="28"/>
          <w:szCs w:val="28"/>
        </w:rPr>
      </w:pPr>
      <w:r>
        <w:rPr>
          <w:rFonts w:ascii="Times New Roman" w:hAnsi="Times New Roman"/>
          <w:sz w:val="28"/>
          <w:szCs w:val="28"/>
        </w:rPr>
        <w:t>（第二页起为正文）</w:t>
      </w:r>
    </w:p>
    <w:p>
      <w:pPr>
        <w:spacing w:line="560" w:lineRule="exact"/>
        <w:ind w:firstLine="560" w:firstLineChars="200"/>
        <w:rPr>
          <w:rFonts w:ascii="Times New Roman" w:hAnsi="Times New Roman"/>
          <w:sz w:val="28"/>
          <w:szCs w:val="28"/>
        </w:rPr>
      </w:pPr>
      <w:r>
        <w:rPr>
          <w:rFonts w:ascii="Times New Roman" w:hAnsi="Times New Roman"/>
          <w:sz w:val="28"/>
          <w:szCs w:val="28"/>
        </w:rPr>
        <w:t>关于坚持全面正确的历史观，需要注意以下几个问题：</w:t>
      </w:r>
    </w:p>
    <w:p>
      <w:pPr>
        <w:spacing w:line="560" w:lineRule="exact"/>
        <w:ind w:firstLine="560" w:firstLineChars="200"/>
        <w:rPr>
          <w:rFonts w:ascii="Times New Roman" w:hAnsi="Times New Roman" w:eastAsia="黑体"/>
          <w:sz w:val="28"/>
          <w:szCs w:val="28"/>
        </w:rPr>
      </w:pPr>
      <w:r>
        <w:rPr>
          <w:rFonts w:ascii="Times New Roman" w:eastAsia="黑体"/>
          <w:sz w:val="28"/>
          <w:szCs w:val="28"/>
        </w:rPr>
        <w:t>一、把党和人民</w:t>
      </w:r>
      <w:r>
        <w:rPr>
          <w:rFonts w:ascii="Times New Roman" w:hAnsi="Times New Roman" w:eastAsia="黑体"/>
          <w:sz w:val="28"/>
          <w:szCs w:val="28"/>
        </w:rPr>
        <w:t>90</w:t>
      </w:r>
      <w:r>
        <w:rPr>
          <w:rFonts w:ascii="Times New Roman" w:eastAsia="黑体"/>
          <w:sz w:val="28"/>
          <w:szCs w:val="28"/>
        </w:rPr>
        <w:t>多年的实践及其经验当作立身之本</w:t>
      </w:r>
    </w:p>
    <w:p>
      <w:pPr>
        <w:spacing w:line="560" w:lineRule="exact"/>
        <w:ind w:firstLine="560" w:firstLineChars="200"/>
        <w:rPr>
          <w:rFonts w:ascii="Times New Roman" w:hAnsi="Times New Roman"/>
          <w:sz w:val="28"/>
          <w:szCs w:val="28"/>
        </w:rPr>
      </w:pPr>
      <w:r>
        <w:rPr>
          <w:rFonts w:ascii="Times New Roman" w:hAnsi="Times New Roman"/>
          <w:sz w:val="28"/>
          <w:szCs w:val="28"/>
        </w:rPr>
        <w:t>中国特色社会主义不是从天上掉下来的，是党和人民历经千辛万苦、付出各种代价取得的根本成就。“从我们党领导中国革命的实践可以看出，探索中国革命的正确道路是何等不容易，我们党为此付出了沉重代价。这是我们永远不能忘记的历史经验和教训。”</w:t>
      </w:r>
      <w:r>
        <w:rPr>
          <w:rFonts w:ascii="Times New Roman" w:hAnsi="Times New Roman"/>
          <w:sz w:val="28"/>
          <w:szCs w:val="28"/>
          <w:vertAlign w:val="superscript"/>
        </w:rPr>
        <w:t>1</w:t>
      </w:r>
    </w:p>
    <w:p>
      <w:pPr>
        <w:spacing w:line="560" w:lineRule="exact"/>
        <w:ind w:firstLine="560" w:firstLineChars="200"/>
        <w:rPr>
          <w:rFonts w:ascii="Times New Roman" w:hAnsi="Times New Roman"/>
          <w:sz w:val="28"/>
          <w:szCs w:val="28"/>
        </w:rPr>
      </w:pPr>
      <w:r>
        <w:rPr>
          <w:rFonts w:ascii="Times New Roman" w:hAnsi="Times New Roman"/>
          <w:sz w:val="28"/>
          <w:szCs w:val="28"/>
        </w:rPr>
        <w:t>“中国梦的产生有着深厚的历史根源和文化渊源，是从中华民族的历史命运中发生和发展起来的。”</w:t>
      </w:r>
      <w:r>
        <w:rPr>
          <w:rFonts w:ascii="Times New Roman" w:hAnsi="Times New Roman"/>
          <w:sz w:val="28"/>
          <w:szCs w:val="28"/>
          <w:vertAlign w:val="superscript"/>
        </w:rPr>
        <w:t>2</w:t>
      </w:r>
    </w:p>
    <w:p>
      <w:pPr>
        <w:spacing w:line="560" w:lineRule="exact"/>
        <w:ind w:firstLine="560" w:firstLineChars="200"/>
        <w:rPr>
          <w:rFonts w:ascii="Times New Roman" w:hAnsi="Times New Roman"/>
          <w:sz w:val="28"/>
          <w:szCs w:val="28"/>
        </w:rPr>
      </w:pPr>
      <w:r>
        <w:rPr>
          <w:rFonts w:ascii="Times New Roman" w:hAnsi="Times New Roman"/>
          <w:sz w:val="28"/>
          <w:szCs w:val="28"/>
        </w:rPr>
        <w:t>“这就是历史：后人总是以前人已经达到的位置作为出发点继续前进，又大大超越前人。”</w:t>
      </w:r>
      <w:r>
        <w:rPr>
          <w:rFonts w:ascii="Times New Roman" w:hAnsi="Times New Roman"/>
          <w:sz w:val="28"/>
          <w:szCs w:val="28"/>
          <w:vertAlign w:val="superscript"/>
        </w:rPr>
        <w:t>3</w:t>
      </w:r>
    </w:p>
    <w:p>
      <w:pPr>
        <w:spacing w:line="560" w:lineRule="exact"/>
        <w:ind w:firstLine="560" w:firstLineChars="200"/>
        <w:rPr>
          <w:rFonts w:ascii="Times New Roman" w:hAnsi="Times New Roman" w:eastAsia="楷体_GB2312"/>
          <w:sz w:val="28"/>
          <w:szCs w:val="28"/>
        </w:rPr>
      </w:pPr>
      <w:r>
        <w:rPr>
          <w:rFonts w:ascii="Times New Roman" w:eastAsia="楷体_GB2312"/>
          <w:sz w:val="28"/>
          <w:szCs w:val="28"/>
        </w:rPr>
        <w:t>作者简介：李明</w:t>
      </w:r>
      <w:r>
        <w:rPr>
          <w:rFonts w:ascii="Times New Roman" w:hAnsi="Times New Roman"/>
          <w:sz w:val="28"/>
          <w:szCs w:val="28"/>
        </w:rPr>
        <w:t>……</w:t>
      </w:r>
      <w:r>
        <w:rPr>
          <w:rFonts w:ascii="Times New Roman" w:eastAsia="楷体_GB2312"/>
          <w:sz w:val="28"/>
          <w:szCs w:val="28"/>
        </w:rPr>
        <w:t>（请写明作者单位、职务、职称、研究专长、联系方式等信息）。</w:t>
      </w:r>
    </w:p>
    <w:p>
      <w:pPr>
        <w:spacing w:line="400" w:lineRule="exact"/>
        <w:ind w:firstLine="640" w:firstLineChars="200"/>
        <w:rPr>
          <w:rFonts w:ascii="仿宋_GB2312" w:eastAsia="仿宋_GB2312"/>
          <w:sz w:val="32"/>
          <w:szCs w:val="32"/>
          <w:u w:val="single"/>
        </w:rPr>
      </w:pPr>
    </w:p>
    <w:p>
      <w:pPr>
        <w:spacing w:line="400" w:lineRule="exact"/>
        <w:ind w:firstLine="640" w:firstLineChars="200"/>
        <w:rPr>
          <w:rFonts w:ascii="仿宋_GB2312" w:eastAsia="仿宋_GB2312"/>
          <w:sz w:val="32"/>
          <w:szCs w:val="32"/>
          <w:u w:val="single"/>
        </w:rPr>
      </w:pPr>
    </w:p>
    <w:p>
      <w:pPr>
        <w:spacing w:line="400" w:lineRule="exact"/>
        <w:ind w:firstLine="640" w:firstLineChars="200"/>
        <w:rPr>
          <w:rFonts w:ascii="仿宋_GB2312" w:eastAsia="仿宋_GB2312"/>
          <w:sz w:val="32"/>
          <w:szCs w:val="32"/>
          <w:u w:val="single"/>
        </w:rPr>
      </w:pPr>
    </w:p>
    <w:p>
      <w:pPr>
        <w:rPr>
          <w:rFonts w:ascii="Times New Roman" w:hAnsi="Times New Roman"/>
          <w:sz w:val="18"/>
          <w:szCs w:val="18"/>
        </w:rPr>
      </w:pPr>
      <w:r>
        <w:rPr>
          <w:rFonts w:ascii="Times New Roman" w:hAnsi="Times New Roman"/>
          <w:sz w:val="18"/>
          <w:szCs w:val="18"/>
        </w:rPr>
        <w:t>1《十七大以来重要文献选编》（上），中央文献出版社2009年版，第95页。</w:t>
      </w:r>
    </w:p>
    <w:p>
      <w:pPr>
        <w:rPr>
          <w:rFonts w:ascii="Times New Roman" w:hAnsi="Times New Roman"/>
          <w:sz w:val="18"/>
          <w:szCs w:val="18"/>
        </w:rPr>
      </w:pPr>
      <w:r>
        <w:rPr>
          <w:rFonts w:ascii="Times New Roman" w:hAnsi="Times New Roman"/>
          <w:sz w:val="18"/>
          <w:szCs w:val="18"/>
        </w:rPr>
        <w:t>2 张宏志：《漫议中国梦》，《党的文献》2013年第6期。</w:t>
      </w:r>
    </w:p>
    <w:p>
      <w:pPr>
        <w:rPr>
          <w:rFonts w:ascii="Times New Roman" w:hAnsi="Times New Roman"/>
          <w:sz w:val="18"/>
          <w:szCs w:val="18"/>
        </w:rPr>
      </w:pPr>
      <w:r>
        <w:rPr>
          <w:rFonts w:ascii="Times New Roman" w:hAnsi="Times New Roman"/>
          <w:sz w:val="18"/>
          <w:szCs w:val="18"/>
        </w:rPr>
        <w:t>3 金冲及：《辛亥革命的历史地位》，《人民日报》2011年9月7日。</w:t>
      </w:r>
    </w:p>
    <w:p>
      <w:pPr>
        <w:rPr>
          <w:rFonts w:ascii="仿宋_GB2312" w:eastAsia="仿宋_GB2312"/>
          <w:sz w:val="32"/>
          <w:szCs w:val="32"/>
        </w:rPr>
        <w:sectPr>
          <w:pgSz w:w="11907" w:h="16840"/>
          <w:pgMar w:top="1440" w:right="1797" w:bottom="1440" w:left="1797" w:header="567" w:footer="1588" w:gutter="0"/>
          <w:cols w:space="425" w:num="1"/>
          <w:docGrid w:linePitch="572" w:charSpace="-525"/>
        </w:sectPr>
      </w:pPr>
    </w:p>
    <w:p>
      <w:pPr>
        <w:rPr>
          <w:rFonts w:ascii="华文中宋" w:hAnsi="华文中宋" w:eastAsia="华文中宋"/>
          <w:sz w:val="36"/>
          <w:szCs w:val="36"/>
        </w:rPr>
      </w:pPr>
      <w:r>
        <w:rPr>
          <w:rFonts w:hint="eastAsia" w:ascii="黑体" w:hAnsi="黑体" w:eastAsia="黑体"/>
          <w:sz w:val="32"/>
          <w:szCs w:val="32"/>
        </w:rPr>
        <w:t>附件3</w:t>
      </w:r>
    </w:p>
    <w:p>
      <w:pPr>
        <w:jc w:val="center"/>
        <w:rPr>
          <w:rFonts w:ascii="华文中宋" w:hAnsi="华文中宋" w:eastAsia="华文中宋"/>
          <w:sz w:val="36"/>
          <w:szCs w:val="36"/>
        </w:rPr>
      </w:pPr>
    </w:p>
    <w:p>
      <w:pPr>
        <w:jc w:val="center"/>
        <w:rPr>
          <w:rFonts w:ascii="华文中宋" w:hAnsi="华文中宋" w:eastAsia="华文中宋"/>
          <w:sz w:val="36"/>
          <w:szCs w:val="36"/>
        </w:rPr>
      </w:pPr>
      <w:r>
        <w:rPr>
          <w:rFonts w:hint="eastAsia" w:ascii="华文中宋" w:hAnsi="华文中宋" w:eastAsia="华文中宋"/>
          <w:sz w:val="36"/>
          <w:szCs w:val="36"/>
        </w:rPr>
        <w:t>论文推荐登记表</w:t>
      </w:r>
    </w:p>
    <w:p>
      <w:pPr>
        <w:jc w:val="center"/>
        <w:rPr>
          <w:rFonts w:ascii="黑体" w:hAnsi="宋体" w:eastAsia="黑体"/>
          <w:sz w:val="36"/>
          <w:szCs w:val="36"/>
        </w:rPr>
      </w:pPr>
    </w:p>
    <w:p>
      <w:pPr>
        <w:rPr>
          <w:rFonts w:ascii="楷体_GB2312" w:hAnsi="宋体" w:eastAsia="楷体_GB2312"/>
          <w:sz w:val="32"/>
          <w:szCs w:val="32"/>
        </w:rPr>
      </w:pPr>
      <w:r>
        <w:rPr>
          <w:rFonts w:hint="eastAsia" w:ascii="楷体_GB2312" w:hAnsi="宋体" w:eastAsia="楷体_GB2312"/>
          <w:sz w:val="32"/>
          <w:szCs w:val="32"/>
        </w:rPr>
        <w:t>报送单位（盖章）：</w:t>
      </w:r>
      <w:r>
        <w:rPr>
          <w:rFonts w:ascii="楷体_GB2312" w:hAnsi="宋体" w:eastAsia="楷体_GB2312"/>
          <w:sz w:val="32"/>
          <w:szCs w:val="32"/>
        </w:rPr>
        <w:t xml:space="preserve">                       </w:t>
      </w:r>
      <w:r>
        <w:rPr>
          <w:rFonts w:hint="eastAsia" w:ascii="楷体_GB2312" w:hAnsi="宋体" w:eastAsia="楷体_GB2312"/>
          <w:sz w:val="32"/>
          <w:szCs w:val="32"/>
        </w:rPr>
        <w:t xml:space="preserve">          联系人：</w:t>
      </w:r>
      <w:r>
        <w:rPr>
          <w:rFonts w:ascii="楷体_GB2312" w:hAnsi="宋体" w:eastAsia="楷体_GB2312"/>
          <w:sz w:val="32"/>
          <w:szCs w:val="32"/>
        </w:rPr>
        <w:t xml:space="preserve">        </w:t>
      </w:r>
      <w:r>
        <w:rPr>
          <w:rFonts w:hint="eastAsia" w:ascii="楷体_GB2312" w:hAnsi="宋体" w:eastAsia="楷体_GB2312"/>
          <w:sz w:val="32"/>
          <w:szCs w:val="32"/>
        </w:rPr>
        <w:t>联系电话：</w:t>
      </w:r>
    </w:p>
    <w:tbl>
      <w:tblPr>
        <w:tblStyle w:val="3"/>
        <w:tblW w:w="13892"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76"/>
        <w:gridCol w:w="5403"/>
        <w:gridCol w:w="1276"/>
        <w:gridCol w:w="4252"/>
        <w:gridCol w:w="1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976" w:type="dxa"/>
            <w:vAlign w:val="center"/>
          </w:tcPr>
          <w:p>
            <w:pPr>
              <w:jc w:val="center"/>
              <w:rPr>
                <w:rFonts w:ascii="黑体" w:hAnsi="宋体" w:eastAsia="黑体"/>
                <w:sz w:val="28"/>
                <w:szCs w:val="28"/>
              </w:rPr>
            </w:pPr>
            <w:r>
              <w:rPr>
                <w:rFonts w:hint="eastAsia" w:ascii="黑体" w:hAnsi="宋体" w:eastAsia="黑体"/>
                <w:sz w:val="28"/>
                <w:szCs w:val="28"/>
              </w:rPr>
              <w:t>序号</w:t>
            </w:r>
          </w:p>
        </w:tc>
        <w:tc>
          <w:tcPr>
            <w:tcW w:w="5403" w:type="dxa"/>
            <w:vAlign w:val="center"/>
          </w:tcPr>
          <w:p>
            <w:pPr>
              <w:jc w:val="center"/>
              <w:rPr>
                <w:rFonts w:ascii="黑体" w:hAnsi="宋体" w:eastAsia="黑体"/>
                <w:sz w:val="28"/>
                <w:szCs w:val="28"/>
              </w:rPr>
            </w:pPr>
            <w:r>
              <w:rPr>
                <w:rFonts w:hint="eastAsia" w:ascii="黑体" w:hAnsi="宋体" w:eastAsia="黑体"/>
                <w:sz w:val="28"/>
                <w:szCs w:val="28"/>
              </w:rPr>
              <w:t>论文题目</w:t>
            </w:r>
          </w:p>
        </w:tc>
        <w:tc>
          <w:tcPr>
            <w:tcW w:w="1276" w:type="dxa"/>
            <w:vAlign w:val="center"/>
          </w:tcPr>
          <w:p>
            <w:pPr>
              <w:jc w:val="center"/>
              <w:rPr>
                <w:rFonts w:ascii="黑体" w:hAnsi="宋体" w:eastAsia="黑体"/>
                <w:sz w:val="28"/>
                <w:szCs w:val="28"/>
              </w:rPr>
            </w:pPr>
            <w:r>
              <w:rPr>
                <w:rFonts w:hint="eastAsia" w:ascii="黑体" w:hAnsi="宋体" w:eastAsia="黑体"/>
                <w:sz w:val="28"/>
                <w:szCs w:val="28"/>
              </w:rPr>
              <w:t>作者</w:t>
            </w:r>
          </w:p>
        </w:tc>
        <w:tc>
          <w:tcPr>
            <w:tcW w:w="4252" w:type="dxa"/>
            <w:vAlign w:val="center"/>
          </w:tcPr>
          <w:p>
            <w:pPr>
              <w:jc w:val="center"/>
              <w:rPr>
                <w:rFonts w:ascii="黑体" w:hAnsi="宋体" w:eastAsia="黑体"/>
                <w:sz w:val="28"/>
                <w:szCs w:val="28"/>
              </w:rPr>
            </w:pPr>
            <w:r>
              <w:rPr>
                <w:rFonts w:hint="eastAsia" w:ascii="黑体" w:hAnsi="宋体" w:eastAsia="黑体"/>
                <w:sz w:val="28"/>
                <w:szCs w:val="28"/>
              </w:rPr>
              <w:t>作者单位、职务、职称</w:t>
            </w:r>
          </w:p>
        </w:tc>
        <w:tc>
          <w:tcPr>
            <w:tcW w:w="1985" w:type="dxa"/>
            <w:vAlign w:val="center"/>
          </w:tcPr>
          <w:p>
            <w:pPr>
              <w:jc w:val="center"/>
              <w:rPr>
                <w:rFonts w:ascii="黑体" w:hAnsi="宋体" w:eastAsia="黑体"/>
                <w:sz w:val="28"/>
                <w:szCs w:val="28"/>
              </w:rPr>
            </w:pPr>
            <w:r>
              <w:rPr>
                <w:rFonts w:hint="eastAsia" w:ascii="黑体" w:hAnsi="宋体" w:eastAsia="黑体"/>
                <w:sz w:val="28"/>
                <w:szCs w:val="28"/>
              </w:rPr>
              <w:t>联系电话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976" w:type="dxa"/>
          </w:tcPr>
          <w:p>
            <w:pPr>
              <w:rPr>
                <w:rFonts w:ascii="楷体_GB2312" w:hAnsi="宋体" w:eastAsia="楷体_GB2312"/>
                <w:sz w:val="28"/>
                <w:szCs w:val="28"/>
              </w:rPr>
            </w:pPr>
          </w:p>
        </w:tc>
        <w:tc>
          <w:tcPr>
            <w:tcW w:w="5403" w:type="dxa"/>
          </w:tcPr>
          <w:p>
            <w:pPr>
              <w:rPr>
                <w:rFonts w:ascii="楷体_GB2312" w:hAnsi="宋体" w:eastAsia="楷体_GB2312"/>
                <w:sz w:val="28"/>
                <w:szCs w:val="28"/>
              </w:rPr>
            </w:pPr>
          </w:p>
        </w:tc>
        <w:tc>
          <w:tcPr>
            <w:tcW w:w="1276" w:type="dxa"/>
          </w:tcPr>
          <w:p>
            <w:pPr>
              <w:rPr>
                <w:rFonts w:ascii="楷体_GB2312" w:hAnsi="宋体" w:eastAsia="楷体_GB2312"/>
                <w:sz w:val="28"/>
                <w:szCs w:val="28"/>
              </w:rPr>
            </w:pPr>
          </w:p>
        </w:tc>
        <w:tc>
          <w:tcPr>
            <w:tcW w:w="4252" w:type="dxa"/>
          </w:tcPr>
          <w:p>
            <w:pPr>
              <w:rPr>
                <w:rFonts w:ascii="楷体_GB2312" w:hAnsi="宋体" w:eastAsia="楷体_GB2312"/>
                <w:sz w:val="28"/>
                <w:szCs w:val="28"/>
              </w:rPr>
            </w:pPr>
          </w:p>
        </w:tc>
        <w:tc>
          <w:tcPr>
            <w:tcW w:w="1985" w:type="dxa"/>
          </w:tcPr>
          <w:p>
            <w:pPr>
              <w:rPr>
                <w:rFonts w:ascii="楷体_GB2312" w:hAnsi="宋体" w:eastAsia="楷体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976" w:type="dxa"/>
          </w:tcPr>
          <w:p>
            <w:pPr>
              <w:rPr>
                <w:rFonts w:ascii="楷体_GB2312" w:hAnsi="宋体" w:eastAsia="楷体_GB2312"/>
                <w:sz w:val="28"/>
                <w:szCs w:val="28"/>
              </w:rPr>
            </w:pPr>
          </w:p>
        </w:tc>
        <w:tc>
          <w:tcPr>
            <w:tcW w:w="5403" w:type="dxa"/>
          </w:tcPr>
          <w:p>
            <w:pPr>
              <w:rPr>
                <w:rFonts w:ascii="楷体_GB2312" w:hAnsi="宋体" w:eastAsia="楷体_GB2312"/>
                <w:sz w:val="28"/>
                <w:szCs w:val="28"/>
              </w:rPr>
            </w:pPr>
          </w:p>
        </w:tc>
        <w:tc>
          <w:tcPr>
            <w:tcW w:w="1276" w:type="dxa"/>
          </w:tcPr>
          <w:p>
            <w:pPr>
              <w:rPr>
                <w:rFonts w:ascii="楷体_GB2312" w:hAnsi="宋体" w:eastAsia="楷体_GB2312"/>
                <w:sz w:val="28"/>
                <w:szCs w:val="28"/>
              </w:rPr>
            </w:pPr>
          </w:p>
        </w:tc>
        <w:tc>
          <w:tcPr>
            <w:tcW w:w="4252" w:type="dxa"/>
          </w:tcPr>
          <w:p>
            <w:pPr>
              <w:rPr>
                <w:rFonts w:ascii="楷体_GB2312" w:hAnsi="宋体" w:eastAsia="楷体_GB2312"/>
                <w:sz w:val="28"/>
                <w:szCs w:val="28"/>
              </w:rPr>
            </w:pPr>
          </w:p>
        </w:tc>
        <w:tc>
          <w:tcPr>
            <w:tcW w:w="1985" w:type="dxa"/>
          </w:tcPr>
          <w:p>
            <w:pPr>
              <w:rPr>
                <w:rFonts w:ascii="楷体_GB2312" w:hAnsi="宋体" w:eastAsia="楷体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976" w:type="dxa"/>
          </w:tcPr>
          <w:p>
            <w:pPr>
              <w:rPr>
                <w:rFonts w:ascii="楷体_GB2312" w:hAnsi="宋体" w:eastAsia="楷体_GB2312"/>
                <w:sz w:val="28"/>
                <w:szCs w:val="28"/>
              </w:rPr>
            </w:pPr>
          </w:p>
        </w:tc>
        <w:tc>
          <w:tcPr>
            <w:tcW w:w="5403" w:type="dxa"/>
          </w:tcPr>
          <w:p>
            <w:pPr>
              <w:rPr>
                <w:rFonts w:ascii="楷体_GB2312" w:hAnsi="宋体" w:eastAsia="楷体_GB2312"/>
                <w:sz w:val="28"/>
                <w:szCs w:val="28"/>
              </w:rPr>
            </w:pPr>
          </w:p>
        </w:tc>
        <w:tc>
          <w:tcPr>
            <w:tcW w:w="1276" w:type="dxa"/>
          </w:tcPr>
          <w:p>
            <w:pPr>
              <w:rPr>
                <w:rFonts w:ascii="楷体_GB2312" w:hAnsi="宋体" w:eastAsia="楷体_GB2312"/>
                <w:sz w:val="28"/>
                <w:szCs w:val="28"/>
              </w:rPr>
            </w:pPr>
          </w:p>
        </w:tc>
        <w:tc>
          <w:tcPr>
            <w:tcW w:w="4252" w:type="dxa"/>
          </w:tcPr>
          <w:p>
            <w:pPr>
              <w:rPr>
                <w:rFonts w:ascii="楷体_GB2312" w:hAnsi="宋体" w:eastAsia="楷体_GB2312"/>
                <w:sz w:val="28"/>
                <w:szCs w:val="28"/>
              </w:rPr>
            </w:pPr>
          </w:p>
        </w:tc>
        <w:tc>
          <w:tcPr>
            <w:tcW w:w="1985" w:type="dxa"/>
          </w:tcPr>
          <w:p>
            <w:pPr>
              <w:rPr>
                <w:rFonts w:ascii="楷体_GB2312" w:hAnsi="宋体" w:eastAsia="楷体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976" w:type="dxa"/>
          </w:tcPr>
          <w:p>
            <w:pPr>
              <w:rPr>
                <w:rFonts w:ascii="楷体_GB2312" w:hAnsi="宋体" w:eastAsia="楷体_GB2312"/>
                <w:sz w:val="28"/>
                <w:szCs w:val="28"/>
              </w:rPr>
            </w:pPr>
          </w:p>
        </w:tc>
        <w:tc>
          <w:tcPr>
            <w:tcW w:w="5403" w:type="dxa"/>
          </w:tcPr>
          <w:p>
            <w:pPr>
              <w:rPr>
                <w:rFonts w:ascii="楷体_GB2312" w:hAnsi="宋体" w:eastAsia="楷体_GB2312"/>
                <w:sz w:val="28"/>
                <w:szCs w:val="28"/>
              </w:rPr>
            </w:pPr>
          </w:p>
        </w:tc>
        <w:tc>
          <w:tcPr>
            <w:tcW w:w="1276" w:type="dxa"/>
          </w:tcPr>
          <w:p>
            <w:pPr>
              <w:rPr>
                <w:rFonts w:ascii="楷体_GB2312" w:hAnsi="宋体" w:eastAsia="楷体_GB2312"/>
                <w:sz w:val="28"/>
                <w:szCs w:val="28"/>
              </w:rPr>
            </w:pPr>
          </w:p>
        </w:tc>
        <w:tc>
          <w:tcPr>
            <w:tcW w:w="4252" w:type="dxa"/>
          </w:tcPr>
          <w:p>
            <w:pPr>
              <w:rPr>
                <w:rFonts w:ascii="楷体_GB2312" w:hAnsi="宋体" w:eastAsia="楷体_GB2312"/>
                <w:sz w:val="28"/>
                <w:szCs w:val="28"/>
              </w:rPr>
            </w:pPr>
          </w:p>
        </w:tc>
        <w:tc>
          <w:tcPr>
            <w:tcW w:w="1985" w:type="dxa"/>
          </w:tcPr>
          <w:p>
            <w:pPr>
              <w:rPr>
                <w:rFonts w:ascii="楷体_GB2312" w:hAnsi="宋体" w:eastAsia="楷体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976" w:type="dxa"/>
          </w:tcPr>
          <w:p>
            <w:pPr>
              <w:rPr>
                <w:rFonts w:ascii="楷体_GB2312" w:hAnsi="宋体" w:eastAsia="楷体_GB2312"/>
                <w:sz w:val="28"/>
                <w:szCs w:val="28"/>
              </w:rPr>
            </w:pPr>
          </w:p>
        </w:tc>
        <w:tc>
          <w:tcPr>
            <w:tcW w:w="5403" w:type="dxa"/>
          </w:tcPr>
          <w:p>
            <w:pPr>
              <w:rPr>
                <w:rFonts w:ascii="楷体_GB2312" w:hAnsi="宋体" w:eastAsia="楷体_GB2312"/>
                <w:sz w:val="28"/>
                <w:szCs w:val="28"/>
              </w:rPr>
            </w:pPr>
          </w:p>
        </w:tc>
        <w:tc>
          <w:tcPr>
            <w:tcW w:w="1276" w:type="dxa"/>
          </w:tcPr>
          <w:p>
            <w:pPr>
              <w:rPr>
                <w:rFonts w:ascii="楷体_GB2312" w:hAnsi="宋体" w:eastAsia="楷体_GB2312"/>
                <w:sz w:val="28"/>
                <w:szCs w:val="28"/>
              </w:rPr>
            </w:pPr>
          </w:p>
        </w:tc>
        <w:tc>
          <w:tcPr>
            <w:tcW w:w="4252" w:type="dxa"/>
          </w:tcPr>
          <w:p>
            <w:pPr>
              <w:rPr>
                <w:rFonts w:ascii="楷体_GB2312" w:hAnsi="宋体" w:eastAsia="楷体_GB2312"/>
                <w:sz w:val="28"/>
                <w:szCs w:val="28"/>
              </w:rPr>
            </w:pPr>
          </w:p>
        </w:tc>
        <w:tc>
          <w:tcPr>
            <w:tcW w:w="1985" w:type="dxa"/>
          </w:tcPr>
          <w:p>
            <w:pPr>
              <w:rPr>
                <w:rFonts w:ascii="楷体_GB2312" w:hAnsi="宋体" w:eastAsia="楷体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976" w:type="dxa"/>
          </w:tcPr>
          <w:p>
            <w:pPr>
              <w:rPr>
                <w:rFonts w:ascii="楷体_GB2312" w:hAnsi="宋体" w:eastAsia="楷体_GB2312"/>
                <w:sz w:val="28"/>
                <w:szCs w:val="28"/>
              </w:rPr>
            </w:pPr>
          </w:p>
        </w:tc>
        <w:tc>
          <w:tcPr>
            <w:tcW w:w="5403" w:type="dxa"/>
          </w:tcPr>
          <w:p>
            <w:pPr>
              <w:rPr>
                <w:rFonts w:ascii="楷体_GB2312" w:hAnsi="宋体" w:eastAsia="楷体_GB2312"/>
                <w:sz w:val="28"/>
                <w:szCs w:val="28"/>
              </w:rPr>
            </w:pPr>
          </w:p>
        </w:tc>
        <w:tc>
          <w:tcPr>
            <w:tcW w:w="1276" w:type="dxa"/>
          </w:tcPr>
          <w:p>
            <w:pPr>
              <w:rPr>
                <w:rFonts w:ascii="楷体_GB2312" w:hAnsi="宋体" w:eastAsia="楷体_GB2312"/>
                <w:sz w:val="28"/>
                <w:szCs w:val="28"/>
              </w:rPr>
            </w:pPr>
          </w:p>
        </w:tc>
        <w:tc>
          <w:tcPr>
            <w:tcW w:w="4252" w:type="dxa"/>
          </w:tcPr>
          <w:p>
            <w:pPr>
              <w:rPr>
                <w:rFonts w:ascii="楷体_GB2312" w:hAnsi="宋体" w:eastAsia="楷体_GB2312"/>
                <w:sz w:val="28"/>
                <w:szCs w:val="28"/>
              </w:rPr>
            </w:pPr>
          </w:p>
        </w:tc>
        <w:tc>
          <w:tcPr>
            <w:tcW w:w="1985" w:type="dxa"/>
          </w:tcPr>
          <w:p>
            <w:pPr>
              <w:rPr>
                <w:rFonts w:ascii="楷体_GB2312" w:hAnsi="宋体" w:eastAsia="楷体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976" w:type="dxa"/>
          </w:tcPr>
          <w:p>
            <w:pPr>
              <w:rPr>
                <w:rFonts w:ascii="楷体_GB2312" w:hAnsi="宋体" w:eastAsia="楷体_GB2312"/>
                <w:sz w:val="28"/>
                <w:szCs w:val="28"/>
              </w:rPr>
            </w:pPr>
          </w:p>
        </w:tc>
        <w:tc>
          <w:tcPr>
            <w:tcW w:w="5403" w:type="dxa"/>
          </w:tcPr>
          <w:p>
            <w:pPr>
              <w:rPr>
                <w:rFonts w:ascii="楷体_GB2312" w:hAnsi="宋体" w:eastAsia="楷体_GB2312"/>
                <w:sz w:val="28"/>
                <w:szCs w:val="28"/>
              </w:rPr>
            </w:pPr>
          </w:p>
        </w:tc>
        <w:tc>
          <w:tcPr>
            <w:tcW w:w="1276" w:type="dxa"/>
          </w:tcPr>
          <w:p>
            <w:pPr>
              <w:rPr>
                <w:rFonts w:ascii="楷体_GB2312" w:hAnsi="宋体" w:eastAsia="楷体_GB2312"/>
                <w:sz w:val="28"/>
                <w:szCs w:val="28"/>
              </w:rPr>
            </w:pPr>
          </w:p>
        </w:tc>
        <w:tc>
          <w:tcPr>
            <w:tcW w:w="4252" w:type="dxa"/>
          </w:tcPr>
          <w:p>
            <w:pPr>
              <w:rPr>
                <w:rFonts w:ascii="楷体_GB2312" w:hAnsi="宋体" w:eastAsia="楷体_GB2312"/>
                <w:sz w:val="28"/>
                <w:szCs w:val="28"/>
              </w:rPr>
            </w:pPr>
          </w:p>
        </w:tc>
        <w:tc>
          <w:tcPr>
            <w:tcW w:w="1985" w:type="dxa"/>
          </w:tcPr>
          <w:p>
            <w:pPr>
              <w:rPr>
                <w:rFonts w:ascii="楷体_GB2312" w:hAnsi="宋体" w:eastAsia="楷体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976" w:type="dxa"/>
          </w:tcPr>
          <w:p>
            <w:pPr>
              <w:rPr>
                <w:rFonts w:ascii="楷体_GB2312" w:hAnsi="宋体" w:eastAsia="楷体_GB2312"/>
                <w:sz w:val="28"/>
                <w:szCs w:val="28"/>
              </w:rPr>
            </w:pPr>
          </w:p>
        </w:tc>
        <w:tc>
          <w:tcPr>
            <w:tcW w:w="5403" w:type="dxa"/>
          </w:tcPr>
          <w:p>
            <w:pPr>
              <w:rPr>
                <w:rFonts w:ascii="楷体_GB2312" w:hAnsi="宋体" w:eastAsia="楷体_GB2312"/>
                <w:sz w:val="28"/>
                <w:szCs w:val="28"/>
              </w:rPr>
            </w:pPr>
          </w:p>
        </w:tc>
        <w:tc>
          <w:tcPr>
            <w:tcW w:w="1276" w:type="dxa"/>
          </w:tcPr>
          <w:p>
            <w:pPr>
              <w:rPr>
                <w:rFonts w:ascii="楷体_GB2312" w:hAnsi="宋体" w:eastAsia="楷体_GB2312"/>
                <w:sz w:val="28"/>
                <w:szCs w:val="28"/>
              </w:rPr>
            </w:pPr>
          </w:p>
        </w:tc>
        <w:tc>
          <w:tcPr>
            <w:tcW w:w="4252" w:type="dxa"/>
          </w:tcPr>
          <w:p>
            <w:pPr>
              <w:rPr>
                <w:rFonts w:ascii="楷体_GB2312" w:hAnsi="宋体" w:eastAsia="楷体_GB2312"/>
                <w:sz w:val="28"/>
                <w:szCs w:val="28"/>
              </w:rPr>
            </w:pPr>
          </w:p>
        </w:tc>
        <w:tc>
          <w:tcPr>
            <w:tcW w:w="1985" w:type="dxa"/>
          </w:tcPr>
          <w:p>
            <w:pPr>
              <w:rPr>
                <w:rFonts w:ascii="楷体_GB2312" w:hAnsi="宋体" w:eastAsia="楷体_GB2312"/>
                <w:sz w:val="28"/>
                <w:szCs w:val="28"/>
              </w:rPr>
            </w:pPr>
          </w:p>
        </w:tc>
      </w:tr>
    </w:tbl>
    <w:p>
      <w:pPr>
        <w:rPr>
          <w:rFonts w:ascii="仿宋_GB2312" w:eastAsia="仿宋_GB2312"/>
          <w:sz w:val="32"/>
          <w:szCs w:val="32"/>
        </w:rPr>
      </w:pPr>
      <w:bookmarkStart w:id="0" w:name="_GoBack"/>
      <w:bookmarkEnd w:id="0"/>
    </w:p>
    <w:p/>
    <w:sectPr>
      <w:pgSz w:w="16840" w:h="11907" w:orient="landscape"/>
      <w:pgMar w:top="1797" w:right="1440" w:bottom="1797" w:left="1440" w:header="567" w:footer="1588" w:gutter="0"/>
      <w:cols w:space="425" w:num="1"/>
      <w:docGrid w:linePitch="572" w:charSpace="-5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D93D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helin</dc:creator>
  <cp:lastModifiedBy>林</cp:lastModifiedBy>
  <dcterms:modified xsi:type="dcterms:W3CDTF">2018-03-19T06:46:00Z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