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55" w:rsidRPr="00B4201F" w:rsidRDefault="00906C55" w:rsidP="00906C55">
      <w:pPr>
        <w:spacing w:line="460" w:lineRule="exact"/>
        <w:rPr>
          <w:color w:val="000000"/>
          <w:sz w:val="28"/>
          <w:szCs w:val="28"/>
        </w:rPr>
      </w:pPr>
      <w:r w:rsidRPr="00B4201F">
        <w:rPr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1</w:t>
      </w:r>
      <w:r w:rsidRPr="00B4201F">
        <w:rPr>
          <w:color w:val="000000"/>
          <w:sz w:val="28"/>
          <w:szCs w:val="28"/>
        </w:rPr>
        <w:t>：</w:t>
      </w:r>
    </w:p>
    <w:p w:rsidR="00906C55" w:rsidRDefault="00906C55" w:rsidP="00906C55">
      <w:pPr>
        <w:pStyle w:val="a3"/>
        <w:spacing w:before="0" w:beforeAutospacing="0" w:after="0" w:afterAutospacing="0" w:line="480" w:lineRule="exact"/>
        <w:jc w:val="center"/>
        <w:textAlignment w:val="baseline"/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</w:pPr>
      <w:bookmarkStart w:id="0" w:name="_GoBack"/>
      <w:r w:rsidRPr="004B479A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2015年</w:t>
      </w:r>
      <w:r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度</w:t>
      </w:r>
      <w:r w:rsidRPr="004B479A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省级科技创新</w:t>
      </w:r>
      <w:proofErr w:type="gramStart"/>
      <w:r w:rsidRPr="004B479A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券</w:t>
      </w:r>
      <w:proofErr w:type="gramEnd"/>
      <w:r w:rsidRPr="004B479A"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  <w:t>使用范围</w:t>
      </w:r>
    </w:p>
    <w:bookmarkEnd w:id="0"/>
    <w:p w:rsidR="00906C55" w:rsidRPr="004B479A" w:rsidRDefault="00906C55" w:rsidP="00906C55">
      <w:pPr>
        <w:pStyle w:val="a3"/>
        <w:spacing w:before="0" w:beforeAutospacing="0" w:after="0" w:afterAutospacing="0" w:line="480" w:lineRule="exact"/>
        <w:jc w:val="center"/>
        <w:textAlignment w:val="baseline"/>
        <w:rPr>
          <w:rFonts w:ascii="黑体" w:eastAsia="黑体" w:hAnsi="黑体" w:cs="Times New Roman" w:hint="eastAsia"/>
          <w:color w:val="000000"/>
          <w:kern w:val="2"/>
          <w:sz w:val="32"/>
          <w:szCs w:val="32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3824"/>
        <w:gridCol w:w="4203"/>
      </w:tblGrid>
      <w:tr w:rsidR="00906C55" w:rsidTr="004C0D8D">
        <w:trPr>
          <w:trHeight w:hRule="exact" w:val="63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5C36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5C36">
              <w:rPr>
                <w:rFonts w:ascii="仿宋" w:eastAsia="仿宋" w:hAnsi="仿宋" w:hint="eastAsia"/>
                <w:sz w:val="28"/>
                <w:szCs w:val="28"/>
              </w:rPr>
              <w:t>重点支持事项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95C36">
              <w:rPr>
                <w:rFonts w:ascii="仿宋" w:eastAsia="仿宋" w:hAnsi="仿宋" w:hint="eastAsia"/>
                <w:sz w:val="28"/>
                <w:szCs w:val="28"/>
              </w:rPr>
              <w:t>不支持事项</w:t>
            </w: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科技咨询服务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企业创新发展战略咨询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1</w:t>
            </w:r>
            <w:r w:rsidRPr="00895C36">
              <w:rPr>
                <w:rFonts w:ascii="仿宋" w:eastAsia="仿宋" w:hAnsi="仿宋" w:hint="eastAsia"/>
                <w:sz w:val="24"/>
              </w:rPr>
              <w:t>、合同研究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2</w:t>
            </w:r>
            <w:r w:rsidRPr="00895C36">
              <w:rPr>
                <w:rFonts w:ascii="仿宋" w:eastAsia="仿宋" w:hAnsi="仿宋" w:hint="eastAsia"/>
                <w:sz w:val="24"/>
              </w:rPr>
              <w:t>、技术转让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3</w:t>
            </w:r>
            <w:r w:rsidRPr="00895C36">
              <w:rPr>
                <w:rFonts w:ascii="仿宋" w:eastAsia="仿宋" w:hAnsi="仿宋" w:hint="eastAsia"/>
                <w:sz w:val="24"/>
              </w:rPr>
              <w:t>、技术许可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4</w:t>
            </w:r>
            <w:r w:rsidRPr="00895C36">
              <w:rPr>
                <w:rFonts w:ascii="仿宋" w:eastAsia="仿宋" w:hAnsi="仿宋" w:hint="eastAsia"/>
                <w:sz w:val="24"/>
              </w:rPr>
              <w:t>、高新技术企业、高新技术产品申报与材料编写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5</w:t>
            </w:r>
            <w:r w:rsidRPr="00895C36">
              <w:rPr>
                <w:rFonts w:ascii="仿宋" w:eastAsia="仿宋" w:hAnsi="仿宋" w:hint="eastAsia"/>
                <w:sz w:val="24"/>
              </w:rPr>
              <w:t>、各类科技计划项目申报材料的组织编写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6</w:t>
            </w:r>
            <w:r w:rsidRPr="00895C36">
              <w:rPr>
                <w:rFonts w:ascii="仿宋" w:eastAsia="仿宋" w:hAnsi="仿宋" w:hint="eastAsia"/>
                <w:sz w:val="24"/>
              </w:rPr>
              <w:t>、建设工程、环境工程等的设计咨询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7</w:t>
            </w:r>
            <w:r w:rsidRPr="00895C36">
              <w:rPr>
                <w:rFonts w:ascii="仿宋" w:eastAsia="仿宋" w:hAnsi="仿宋" w:hint="eastAsia"/>
                <w:sz w:val="24"/>
              </w:rPr>
              <w:t>、环境影响评价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8</w:t>
            </w:r>
            <w:r w:rsidRPr="00895C36">
              <w:rPr>
                <w:rFonts w:ascii="仿宋" w:eastAsia="仿宋" w:hAnsi="仿宋" w:hint="eastAsia"/>
                <w:sz w:val="24"/>
              </w:rPr>
              <w:t>、企业质量管理体系认证咨询与服务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9</w:t>
            </w:r>
            <w:r w:rsidRPr="00895C36">
              <w:rPr>
                <w:rFonts w:ascii="仿宋" w:eastAsia="仿宋" w:hAnsi="仿宋" w:hint="eastAsia"/>
                <w:sz w:val="24"/>
              </w:rPr>
              <w:t>、项目的论证、鉴定、审计及验收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10</w:t>
            </w:r>
            <w:r w:rsidRPr="00895C36">
              <w:rPr>
                <w:rFonts w:ascii="仿宋" w:eastAsia="仿宋" w:hAnsi="仿宋" w:hint="eastAsia"/>
                <w:sz w:val="24"/>
              </w:rPr>
              <w:t>、企业上市策划咨询辅导</w:t>
            </w: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企业创新管理咨询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企业技术诊断咨询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创新政策咨询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科技创新综合咨询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企业研发机构建设与管理咨询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企业技术标准制定咨询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0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55" w:rsidRPr="00A32555" w:rsidRDefault="00906C55" w:rsidP="004C0D8D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A32555">
              <w:rPr>
                <w:rFonts w:ascii="仿宋" w:eastAsia="仿宋" w:hAnsi="仿宋" w:hint="eastAsia"/>
                <w:sz w:val="24"/>
              </w:rPr>
              <w:t>有关提升企业创新能力的专项培训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79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分析测试服务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新技术研究过程中涉及的各种分析测试服务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1</w:t>
            </w:r>
            <w:r w:rsidRPr="00895C36">
              <w:rPr>
                <w:rFonts w:ascii="仿宋" w:eastAsia="仿宋" w:hAnsi="仿宋" w:hint="eastAsia"/>
                <w:sz w:val="24"/>
              </w:rPr>
              <w:t>、按照法律法规或者强制性标准要求开展的强制检测、法定检测（产品质量检验检测、产品制造许可评审、设备制造许可鉴定评审、科学仪器计量检定等）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2</w:t>
            </w:r>
            <w:r w:rsidRPr="00895C36">
              <w:rPr>
                <w:rFonts w:ascii="仿宋" w:eastAsia="仿宋" w:hAnsi="仿宋" w:hint="eastAsia"/>
                <w:sz w:val="24"/>
              </w:rPr>
              <w:t>、产品质量诊断以及事故诊断评估</w:t>
            </w:r>
          </w:p>
        </w:tc>
      </w:tr>
      <w:tr w:rsidR="00906C55" w:rsidTr="004C0D8D">
        <w:trPr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新产品开发过程中涉及的各种分析测试服务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4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科技信息服务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科技情报</w:t>
            </w:r>
            <w:r>
              <w:rPr>
                <w:rFonts w:ascii="仿宋" w:eastAsia="仿宋" w:hAnsi="仿宋" w:hint="eastAsia"/>
                <w:sz w:val="24"/>
              </w:rPr>
              <w:t>分析</w:t>
            </w:r>
            <w:r w:rsidRPr="00895C36">
              <w:rPr>
                <w:rFonts w:ascii="仿宋" w:eastAsia="仿宋" w:hAnsi="仿宋" w:hint="eastAsia"/>
                <w:sz w:val="24"/>
              </w:rPr>
              <w:t>服务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1</w:t>
            </w:r>
            <w:r w:rsidRPr="00895C36">
              <w:rPr>
                <w:rFonts w:ascii="仿宋" w:eastAsia="仿宋" w:hAnsi="仿宋" w:hint="eastAsia"/>
                <w:sz w:val="24"/>
              </w:rPr>
              <w:t>、单纯购买文献资料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2</w:t>
            </w:r>
            <w:r w:rsidRPr="00895C36">
              <w:rPr>
                <w:rFonts w:ascii="仿宋" w:eastAsia="仿宋" w:hAnsi="仿宋" w:hint="eastAsia"/>
                <w:sz w:val="24"/>
              </w:rPr>
              <w:t>、专利申请和专利代理、维护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3</w:t>
            </w:r>
            <w:r w:rsidRPr="00895C36">
              <w:rPr>
                <w:rFonts w:ascii="仿宋" w:eastAsia="仿宋" w:hAnsi="仿宋" w:hint="eastAsia"/>
                <w:sz w:val="24"/>
              </w:rPr>
              <w:t>、软件开发、购置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4</w:t>
            </w:r>
            <w:r w:rsidRPr="00895C36">
              <w:rPr>
                <w:rFonts w:ascii="仿宋" w:eastAsia="仿宋" w:hAnsi="仿宋" w:hint="eastAsia"/>
                <w:sz w:val="24"/>
              </w:rPr>
              <w:t>、企业信息化系统建设</w:t>
            </w:r>
          </w:p>
        </w:tc>
      </w:tr>
      <w:tr w:rsidR="00906C55" w:rsidTr="004C0D8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知识产权</w:t>
            </w:r>
            <w:r>
              <w:rPr>
                <w:rFonts w:ascii="仿宋" w:eastAsia="仿宋" w:hAnsi="仿宋" w:hint="eastAsia"/>
                <w:sz w:val="24"/>
              </w:rPr>
              <w:t>分析</w:t>
            </w:r>
            <w:r w:rsidRPr="00895C36">
              <w:rPr>
                <w:rFonts w:ascii="仿宋" w:eastAsia="仿宋" w:hAnsi="仿宋" w:hint="eastAsia"/>
                <w:sz w:val="24"/>
              </w:rPr>
              <w:t>服务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科技文献</w:t>
            </w:r>
            <w:r>
              <w:rPr>
                <w:rFonts w:ascii="仿宋" w:eastAsia="仿宋" w:hAnsi="仿宋" w:hint="eastAsia"/>
                <w:sz w:val="24"/>
              </w:rPr>
              <w:t>分析</w:t>
            </w:r>
            <w:r w:rsidRPr="00895C36">
              <w:rPr>
                <w:rFonts w:ascii="仿宋" w:eastAsia="仿宋" w:hAnsi="仿宋" w:hint="eastAsia"/>
                <w:sz w:val="24"/>
              </w:rPr>
              <w:t>服务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科技查新服务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widowControl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06C55" w:rsidTr="004C0D8D">
        <w:trPr>
          <w:trHeight w:val="836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科技创业服务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孵化器、大学科技园及各</w:t>
            </w:r>
            <w:proofErr w:type="gramStart"/>
            <w:r w:rsidRPr="00895C36">
              <w:rPr>
                <w:rFonts w:ascii="仿宋" w:eastAsia="仿宋" w:hAnsi="仿宋" w:hint="eastAsia"/>
                <w:sz w:val="24"/>
              </w:rPr>
              <w:t>类众创空间</w:t>
            </w:r>
            <w:proofErr w:type="gramEnd"/>
            <w:r w:rsidRPr="00895C36">
              <w:rPr>
                <w:rFonts w:ascii="仿宋" w:eastAsia="仿宋" w:hAnsi="仿宋" w:hint="eastAsia"/>
                <w:sz w:val="24"/>
              </w:rPr>
              <w:t>等用于专业服务设施建设的费用：包括仪器设备、公共软件、开发工具购置等费用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/>
                <w:sz w:val="24"/>
              </w:rPr>
              <w:t>1</w:t>
            </w:r>
            <w:r w:rsidRPr="00895C36">
              <w:rPr>
                <w:rFonts w:ascii="仿宋" w:eastAsia="仿宋" w:hAnsi="仿宋" w:hint="eastAsia"/>
                <w:sz w:val="24"/>
              </w:rPr>
              <w:t>、不直接支持在</w:t>
            </w:r>
            <w:proofErr w:type="gramStart"/>
            <w:r w:rsidRPr="00895C36">
              <w:rPr>
                <w:rFonts w:ascii="仿宋" w:eastAsia="仿宋" w:hAnsi="仿宋" w:hint="eastAsia"/>
                <w:sz w:val="24"/>
              </w:rPr>
              <w:t>孵企业</w:t>
            </w:r>
            <w:proofErr w:type="gramEnd"/>
            <w:r w:rsidRPr="00895C36">
              <w:rPr>
                <w:rFonts w:ascii="仿宋" w:eastAsia="仿宋" w:hAnsi="仿宋" w:hint="eastAsia"/>
                <w:sz w:val="24"/>
              </w:rPr>
              <w:t>的创业活动</w:t>
            </w:r>
          </w:p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895C36">
              <w:rPr>
                <w:rFonts w:ascii="仿宋" w:eastAsia="仿宋" w:hAnsi="仿宋"/>
                <w:sz w:val="24"/>
              </w:rPr>
              <w:t>2</w:t>
            </w:r>
            <w:r w:rsidRPr="00895C36">
              <w:rPr>
                <w:rFonts w:ascii="仿宋" w:eastAsia="仿宋" w:hAnsi="仿宋" w:hint="eastAsia"/>
                <w:sz w:val="24"/>
              </w:rPr>
              <w:t>、不支持创业融资服务</w:t>
            </w:r>
          </w:p>
        </w:tc>
      </w:tr>
      <w:tr w:rsidR="00906C55" w:rsidTr="004C0D8D">
        <w:trPr>
          <w:trHeight w:val="18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Default="00906C55" w:rsidP="004C0D8D">
            <w:pPr>
              <w:widowControl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Pr="00895C36" w:rsidRDefault="00906C55" w:rsidP="004C0D8D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895C36">
              <w:rPr>
                <w:rFonts w:ascii="仿宋" w:eastAsia="仿宋" w:hAnsi="仿宋" w:hint="eastAsia"/>
                <w:sz w:val="24"/>
              </w:rPr>
              <w:t>孵化器、大学科技园及各</w:t>
            </w:r>
            <w:proofErr w:type="gramStart"/>
            <w:r w:rsidRPr="00895C36">
              <w:rPr>
                <w:rFonts w:ascii="仿宋" w:eastAsia="仿宋" w:hAnsi="仿宋" w:hint="eastAsia"/>
                <w:sz w:val="24"/>
              </w:rPr>
              <w:t>类众创空间</w:t>
            </w:r>
            <w:proofErr w:type="gramEnd"/>
            <w:r w:rsidRPr="00895C36">
              <w:rPr>
                <w:rFonts w:ascii="仿宋" w:eastAsia="仿宋" w:hAnsi="仿宋" w:hint="eastAsia"/>
                <w:sz w:val="24"/>
              </w:rPr>
              <w:t>等免费提供在</w:t>
            </w:r>
            <w:proofErr w:type="gramStart"/>
            <w:r w:rsidRPr="00895C36">
              <w:rPr>
                <w:rFonts w:ascii="仿宋" w:eastAsia="仿宋" w:hAnsi="仿宋" w:hint="eastAsia"/>
                <w:sz w:val="24"/>
              </w:rPr>
              <w:t>孵企业</w:t>
            </w:r>
            <w:proofErr w:type="gramEnd"/>
            <w:r w:rsidRPr="00895C36">
              <w:rPr>
                <w:rFonts w:ascii="仿宋" w:eastAsia="仿宋" w:hAnsi="仿宋" w:hint="eastAsia"/>
                <w:sz w:val="24"/>
              </w:rPr>
              <w:t>等使用的网络宽带费用</w:t>
            </w: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55" w:rsidRDefault="00906C55" w:rsidP="004C0D8D">
            <w:pPr>
              <w:widowControl/>
              <w:jc w:val="left"/>
              <w:rPr>
                <w:rFonts w:ascii="方正仿宋_GBK" w:eastAsia="方正仿宋_GBK" w:hAnsi="Calibri"/>
                <w:sz w:val="28"/>
                <w:szCs w:val="28"/>
              </w:rPr>
            </w:pPr>
          </w:p>
        </w:tc>
      </w:tr>
    </w:tbl>
    <w:p w:rsidR="005837EF" w:rsidRPr="00906C55" w:rsidRDefault="005837EF"/>
    <w:sectPr w:rsidR="005837EF" w:rsidRPr="0090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5"/>
    <w:rsid w:val="004549F7"/>
    <w:rsid w:val="005837EF"/>
    <w:rsid w:val="0090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C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2016-04-18T08:12:00Z</dcterms:created>
  <dcterms:modified xsi:type="dcterms:W3CDTF">2016-04-18T08:12:00Z</dcterms:modified>
</cp:coreProperties>
</file>